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7C07B1" w14:textId="432928BC" w:rsidR="003B481B" w:rsidRPr="000B4E0A" w:rsidRDefault="00CA28AB" w:rsidP="00F548B4">
      <w:pPr>
        <w:spacing w:after="0" w:line="240" w:lineRule="auto"/>
        <w:jc w:val="center"/>
        <w:rPr>
          <w:rFonts w:ascii="Times New Roman" w:hAnsi="Times New Roman" w:cs="Times New Roman"/>
          <w:sz w:val="24"/>
          <w:szCs w:val="24"/>
        </w:rPr>
      </w:pPr>
      <w:r w:rsidRPr="00CA28AB">
        <w:rPr>
          <w:rFonts w:ascii="Times New Roman" w:hAnsi="Times New Roman" w:cs="Times New Roman"/>
          <w:b/>
          <w:bCs/>
          <w:sz w:val="24"/>
          <w:szCs w:val="24"/>
        </w:rPr>
        <w:t xml:space="preserve">Latvijas Bankas noteikumu projekta </w:t>
      </w:r>
      <w:r w:rsidR="000A006C">
        <w:rPr>
          <w:rFonts w:ascii="Times New Roman" w:hAnsi="Times New Roman" w:cs="Times New Roman"/>
          <w:b/>
          <w:bCs/>
          <w:sz w:val="24"/>
          <w:szCs w:val="24"/>
        </w:rPr>
        <w:t>"</w:t>
      </w:r>
      <w:r w:rsidR="00513C75" w:rsidRPr="00513C75">
        <w:rPr>
          <w:rFonts w:ascii="Times New Roman" w:hAnsi="Times New Roman" w:cs="Times New Roman"/>
          <w:b/>
          <w:bCs/>
          <w:sz w:val="24"/>
          <w:szCs w:val="24"/>
        </w:rPr>
        <w:t>Noteikumi par nepieciešamajām zināšanām un kompetenci, lai sniegtu ieguldījumu konsultācijas vai informāciju par finanšu instrumentiem, strukturētiem noguldījumiem, ieguldījumu pakalpojumiem vai ieguldījumu blakuspakalpojumiem</w:t>
      </w:r>
      <w:r w:rsidR="000A006C">
        <w:rPr>
          <w:rFonts w:ascii="Times New Roman" w:hAnsi="Times New Roman" w:cs="Times New Roman"/>
          <w:b/>
          <w:bCs/>
          <w:sz w:val="24"/>
          <w:szCs w:val="24"/>
        </w:rPr>
        <w:t>"</w:t>
      </w:r>
      <w:r w:rsidR="003B481B" w:rsidRPr="00CA28AB">
        <w:rPr>
          <w:rFonts w:ascii="Times New Roman" w:hAnsi="Times New Roman" w:cs="Times New Roman"/>
          <w:b/>
          <w:bCs/>
          <w:sz w:val="24"/>
          <w:szCs w:val="24"/>
        </w:rPr>
        <w:t xml:space="preserve"> anotācija</w:t>
      </w:r>
    </w:p>
    <w:p w14:paraId="294000FC" w14:textId="77777777" w:rsidR="003B481B" w:rsidRPr="000B4E0A" w:rsidRDefault="003B481B" w:rsidP="0049248A">
      <w:pPr>
        <w:spacing w:after="0" w:line="240" w:lineRule="auto"/>
        <w:rPr>
          <w:rFonts w:ascii="Times New Roman" w:hAnsi="Times New Roman" w:cs="Times New Roman"/>
          <w:sz w:val="24"/>
          <w:szCs w:val="24"/>
        </w:rPr>
      </w:pP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1"/>
        <w:gridCol w:w="6379"/>
      </w:tblGrid>
      <w:tr w:rsidR="000B4E0A" w:rsidRPr="000B4E0A" w14:paraId="296A2741" w14:textId="77777777" w:rsidTr="00276A62">
        <w:trPr>
          <w:trHeight w:val="567"/>
        </w:trPr>
        <w:tc>
          <w:tcPr>
            <w:tcW w:w="1537" w:type="pct"/>
            <w:shd w:val="clear" w:color="auto" w:fill="auto"/>
            <w:hideMark/>
          </w:tcPr>
          <w:p w14:paraId="17728017"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1EA8C33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463" w:type="pct"/>
            <w:shd w:val="clear" w:color="auto" w:fill="auto"/>
          </w:tcPr>
          <w:p w14:paraId="4B557B5B" w14:textId="6D7B276B" w:rsidR="00E53DE9" w:rsidRPr="000A006C" w:rsidRDefault="00F13D0C" w:rsidP="00631134">
            <w:pPr>
              <w:spacing w:after="120" w:line="240" w:lineRule="auto"/>
              <w:jc w:val="both"/>
              <w:rPr>
                <w:rFonts w:ascii="Times New Roman" w:eastAsia="Times New Roman" w:hAnsi="Times New Roman" w:cs="Times New Roman"/>
                <w:sz w:val="24"/>
                <w:szCs w:val="24"/>
                <w:lang w:eastAsia="lv-LV"/>
              </w:rPr>
            </w:pPr>
            <w:r w:rsidRPr="00F13D0C">
              <w:rPr>
                <w:rFonts w:ascii="Times New Roman" w:eastAsia="Times New Roman" w:hAnsi="Times New Roman" w:cs="Times New Roman"/>
                <w:sz w:val="24"/>
                <w:szCs w:val="24"/>
                <w:lang w:eastAsia="lv-LV"/>
              </w:rPr>
              <w:t>Noteikumi par nepieciešamajām zināšanām un kompetenci, lai sniegtu ieguldījumu konsultācijas vai informāciju par finanšu instrumentiem, strukturētiem noguldījumiem, ieguldījumu pakalpojumiem vai ieguldījumu blakuspakalpojumiem</w:t>
            </w:r>
          </w:p>
        </w:tc>
      </w:tr>
      <w:tr w:rsidR="000B4E0A" w:rsidRPr="000B4E0A" w14:paraId="0C778699" w14:textId="77777777" w:rsidTr="00276A62">
        <w:trPr>
          <w:trHeight w:val="567"/>
        </w:trPr>
        <w:tc>
          <w:tcPr>
            <w:tcW w:w="1537" w:type="pct"/>
            <w:shd w:val="clear" w:color="auto" w:fill="auto"/>
            <w:hideMark/>
          </w:tcPr>
          <w:p w14:paraId="6870B03E"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46262D3D"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463" w:type="pct"/>
            <w:shd w:val="clear" w:color="auto" w:fill="auto"/>
          </w:tcPr>
          <w:p w14:paraId="41A25A85" w14:textId="23BDE23F" w:rsidR="00E53DE9" w:rsidRPr="000A006C" w:rsidRDefault="000A006C" w:rsidP="00631134">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noteikumi</w:t>
            </w:r>
          </w:p>
        </w:tc>
      </w:tr>
      <w:tr w:rsidR="000B4E0A" w:rsidRPr="000B4E0A" w14:paraId="4550C89B" w14:textId="77777777" w:rsidTr="00276A62">
        <w:trPr>
          <w:trHeight w:val="567"/>
        </w:trPr>
        <w:tc>
          <w:tcPr>
            <w:tcW w:w="1537" w:type="pct"/>
            <w:shd w:val="clear" w:color="auto" w:fill="auto"/>
            <w:hideMark/>
          </w:tcPr>
          <w:p w14:paraId="60734CBC"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4253A821"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463" w:type="pct"/>
            <w:shd w:val="clear" w:color="auto" w:fill="auto"/>
          </w:tcPr>
          <w:p w14:paraId="1E65E00B" w14:textId="72EA24C8" w:rsidR="00E53DE9" w:rsidRPr="000A006C" w:rsidRDefault="000A006C" w:rsidP="00631134">
            <w:pPr>
              <w:spacing w:after="120" w:line="240" w:lineRule="auto"/>
              <w:jc w:val="both"/>
              <w:rPr>
                <w:rFonts w:ascii="Times New Roman" w:eastAsia="Times New Roman" w:hAnsi="Times New Roman" w:cs="Times New Roman"/>
                <w:sz w:val="24"/>
                <w:szCs w:val="24"/>
                <w:lang w:eastAsia="lv-LV"/>
              </w:rPr>
            </w:pPr>
            <w:r w:rsidRPr="000A006C">
              <w:rPr>
                <w:rFonts w:ascii="Times New Roman" w:eastAsia="Times New Roman" w:hAnsi="Times New Roman" w:cs="Times New Roman"/>
                <w:sz w:val="24"/>
                <w:szCs w:val="24"/>
                <w:lang w:eastAsia="lv-LV"/>
              </w:rPr>
              <w:t>Finanšu instrumentu tirgus likuma</w:t>
            </w:r>
            <w:r>
              <w:rPr>
                <w:rFonts w:ascii="Times New Roman" w:eastAsia="Times New Roman" w:hAnsi="Times New Roman" w:cs="Times New Roman"/>
                <w:sz w:val="24"/>
                <w:szCs w:val="24"/>
                <w:lang w:eastAsia="lv-LV"/>
              </w:rPr>
              <w:t xml:space="preserve"> </w:t>
            </w:r>
            <w:r w:rsidRPr="000A006C">
              <w:rPr>
                <w:rFonts w:ascii="Times New Roman" w:eastAsia="Times New Roman" w:hAnsi="Times New Roman" w:cs="Times New Roman"/>
                <w:sz w:val="24"/>
                <w:szCs w:val="24"/>
                <w:lang w:eastAsia="lv-LV"/>
              </w:rPr>
              <w:t>4.</w:t>
            </w:r>
            <w:r w:rsidRPr="000A006C">
              <w:rPr>
                <w:rFonts w:ascii="Times New Roman" w:eastAsia="Times New Roman" w:hAnsi="Times New Roman" w:cs="Times New Roman"/>
                <w:sz w:val="24"/>
                <w:szCs w:val="24"/>
                <w:vertAlign w:val="superscript"/>
                <w:lang w:eastAsia="lv-LV"/>
              </w:rPr>
              <w:t>2</w:t>
            </w:r>
            <w:r>
              <w:rPr>
                <w:rFonts w:ascii="Times New Roman" w:eastAsia="Times New Roman" w:hAnsi="Times New Roman" w:cs="Times New Roman"/>
                <w:sz w:val="24"/>
                <w:szCs w:val="24"/>
                <w:vertAlign w:val="superscript"/>
                <w:lang w:eastAsia="lv-LV"/>
              </w:rPr>
              <w:t> </w:t>
            </w:r>
            <w:r w:rsidRPr="000A006C">
              <w:rPr>
                <w:rFonts w:ascii="Times New Roman" w:eastAsia="Times New Roman" w:hAnsi="Times New Roman" w:cs="Times New Roman"/>
                <w:sz w:val="24"/>
                <w:szCs w:val="24"/>
                <w:lang w:eastAsia="lv-LV"/>
              </w:rPr>
              <w:t>pant</w:t>
            </w:r>
            <w:r>
              <w:rPr>
                <w:rFonts w:ascii="Times New Roman" w:eastAsia="Times New Roman" w:hAnsi="Times New Roman" w:cs="Times New Roman"/>
                <w:sz w:val="24"/>
                <w:szCs w:val="24"/>
                <w:lang w:eastAsia="lv-LV"/>
              </w:rPr>
              <w:t>s</w:t>
            </w:r>
            <w:r w:rsidRPr="000A006C">
              <w:rPr>
                <w:rFonts w:ascii="Times New Roman" w:eastAsia="Times New Roman" w:hAnsi="Times New Roman" w:cs="Times New Roman"/>
                <w:sz w:val="24"/>
                <w:szCs w:val="24"/>
                <w:lang w:eastAsia="lv-LV"/>
              </w:rPr>
              <w:t xml:space="preserve"> un 128.</w:t>
            </w:r>
            <w:r>
              <w:rPr>
                <w:rFonts w:ascii="Times New Roman" w:eastAsia="Times New Roman" w:hAnsi="Times New Roman" w:cs="Times New Roman"/>
                <w:sz w:val="24"/>
                <w:szCs w:val="24"/>
                <w:lang w:eastAsia="lv-LV"/>
              </w:rPr>
              <w:t> </w:t>
            </w:r>
            <w:r w:rsidRPr="000A006C">
              <w:rPr>
                <w:rFonts w:ascii="Times New Roman" w:eastAsia="Times New Roman" w:hAnsi="Times New Roman" w:cs="Times New Roman"/>
                <w:sz w:val="24"/>
                <w:szCs w:val="24"/>
                <w:lang w:eastAsia="lv-LV"/>
              </w:rPr>
              <w:t>panta ceturt</w:t>
            </w:r>
            <w:r>
              <w:rPr>
                <w:rFonts w:ascii="Times New Roman" w:eastAsia="Times New Roman" w:hAnsi="Times New Roman" w:cs="Times New Roman"/>
                <w:sz w:val="24"/>
                <w:szCs w:val="24"/>
                <w:lang w:eastAsia="lv-LV"/>
              </w:rPr>
              <w:t>ā</w:t>
            </w:r>
            <w:r w:rsidRPr="000A006C">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0B4E0A" w:rsidRPr="000B4E0A" w14:paraId="30655A05" w14:textId="77777777" w:rsidTr="00276A62">
        <w:trPr>
          <w:trHeight w:val="567"/>
        </w:trPr>
        <w:tc>
          <w:tcPr>
            <w:tcW w:w="1537" w:type="pct"/>
            <w:shd w:val="clear" w:color="auto" w:fill="auto"/>
            <w:hideMark/>
          </w:tcPr>
          <w:p w14:paraId="472CCE81" w14:textId="77777777" w:rsidR="00A42788" w:rsidRPr="000A006C" w:rsidRDefault="00A42788" w:rsidP="000B4E0A">
            <w:pPr>
              <w:spacing w:after="0" w:line="240" w:lineRule="auto"/>
              <w:rPr>
                <w:rFonts w:ascii="Times New Roman" w:eastAsia="Times New Roman" w:hAnsi="Times New Roman" w:cs="Times New Roman"/>
                <w:b/>
                <w:bCs/>
                <w:sz w:val="24"/>
                <w:szCs w:val="24"/>
                <w:lang w:eastAsia="lv-LV"/>
              </w:rPr>
            </w:pPr>
            <w:r w:rsidRPr="000A006C">
              <w:rPr>
                <w:rFonts w:ascii="Times New Roman" w:eastAsia="Times New Roman" w:hAnsi="Times New Roman" w:cs="Times New Roman"/>
                <w:b/>
                <w:bCs/>
                <w:sz w:val="24"/>
                <w:szCs w:val="24"/>
                <w:lang w:eastAsia="lv-LV"/>
              </w:rPr>
              <w:t>Mērķis un būtība</w:t>
            </w:r>
          </w:p>
          <w:p w14:paraId="1CFB0FCB" w14:textId="77777777" w:rsidR="00CA28AB" w:rsidRPr="000A006C" w:rsidRDefault="00CA28AB" w:rsidP="000B4E0A">
            <w:pPr>
              <w:spacing w:after="0" w:line="240" w:lineRule="auto"/>
              <w:rPr>
                <w:rFonts w:ascii="Times New Roman" w:eastAsia="Times New Roman" w:hAnsi="Times New Roman" w:cs="Times New Roman"/>
                <w:b/>
                <w:bCs/>
                <w:sz w:val="24"/>
                <w:szCs w:val="24"/>
                <w:lang w:eastAsia="lv-LV"/>
              </w:rPr>
            </w:pPr>
          </w:p>
        </w:tc>
        <w:tc>
          <w:tcPr>
            <w:tcW w:w="3463" w:type="pct"/>
            <w:shd w:val="clear" w:color="auto" w:fill="auto"/>
          </w:tcPr>
          <w:p w14:paraId="75C73288" w14:textId="271AED03" w:rsidR="00E53DE9" w:rsidRPr="000A006C" w:rsidRDefault="000A006C" w:rsidP="000E3E4E">
            <w:pPr>
              <w:spacing w:line="240" w:lineRule="auto"/>
              <w:jc w:val="both"/>
              <w:rPr>
                <w:rFonts w:ascii="Times New Roman" w:eastAsia="Times New Roman" w:hAnsi="Times New Roman" w:cs="Times New Roman"/>
                <w:sz w:val="24"/>
                <w:szCs w:val="24"/>
                <w:lang w:eastAsia="lv-LV"/>
              </w:rPr>
            </w:pPr>
            <w:r w:rsidRPr="000A006C">
              <w:rPr>
                <w:rFonts w:ascii="Times New Roman" w:eastAsia="Times New Roman" w:hAnsi="Times New Roman" w:cs="Times New Roman"/>
                <w:sz w:val="24"/>
                <w:szCs w:val="24"/>
                <w:lang w:eastAsia="lv-LV"/>
              </w:rPr>
              <w:t>Saskaņā ar Latvijas Bankas likuma pārejas noteikumu 3. 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237E29">
              <w:rPr>
                <w:rFonts w:ascii="Times New Roman" w:eastAsia="Times New Roman" w:hAnsi="Times New Roman" w:cs="Times New Roman"/>
                <w:sz w:val="24"/>
                <w:szCs w:val="24"/>
                <w:lang w:eastAsia="lv-LV"/>
              </w:rPr>
              <w:t> </w:t>
            </w:r>
            <w:r w:rsidRPr="000A006C">
              <w:rPr>
                <w:rFonts w:ascii="Times New Roman" w:eastAsia="Times New Roman" w:hAnsi="Times New Roman" w:cs="Times New Roman"/>
                <w:sz w:val="24"/>
                <w:szCs w:val="24"/>
                <w:lang w:eastAsia="lv-LV"/>
              </w:rPr>
              <w:t>gada 31.</w:t>
            </w:r>
            <w:r w:rsidR="00237E29">
              <w:rPr>
                <w:rFonts w:ascii="Times New Roman" w:eastAsia="Times New Roman" w:hAnsi="Times New Roman" w:cs="Times New Roman"/>
                <w:sz w:val="24"/>
                <w:szCs w:val="24"/>
                <w:lang w:eastAsia="lv-LV"/>
              </w:rPr>
              <w:t> </w:t>
            </w:r>
            <w:r w:rsidRPr="000A006C">
              <w:rPr>
                <w:rFonts w:ascii="Times New Roman" w:eastAsia="Times New Roman" w:hAnsi="Times New Roman" w:cs="Times New Roman"/>
                <w:sz w:val="24"/>
                <w:szCs w:val="24"/>
                <w:lang w:eastAsia="lv-LV"/>
              </w:rPr>
              <w:t>decembrim.</w:t>
            </w:r>
          </w:p>
          <w:p w14:paraId="36824483" w14:textId="7845C1D8" w:rsidR="000A006C" w:rsidRDefault="000A006C" w:rsidP="000E3E4E">
            <w:pPr>
              <w:spacing w:line="240" w:lineRule="auto"/>
              <w:jc w:val="both"/>
              <w:rPr>
                <w:rFonts w:ascii="Times New Roman" w:eastAsia="Times New Roman" w:hAnsi="Times New Roman" w:cs="Times New Roman"/>
                <w:sz w:val="24"/>
                <w:szCs w:val="24"/>
                <w:lang w:eastAsia="lv-LV"/>
              </w:rPr>
            </w:pPr>
            <w:r w:rsidRPr="000A006C">
              <w:rPr>
                <w:rFonts w:ascii="Times New Roman" w:eastAsia="Times New Roman" w:hAnsi="Times New Roman" w:cs="Times New Roman"/>
                <w:sz w:val="24"/>
                <w:szCs w:val="24"/>
                <w:lang w:eastAsia="lv-LV"/>
              </w:rPr>
              <w:t>Ņemot vērā minēto, Latvijas Banka ir izstrādājusi noteikumu projektu "</w:t>
            </w:r>
            <w:r w:rsidR="00513C75" w:rsidRPr="00513C75">
              <w:rPr>
                <w:rFonts w:ascii="Times New Roman" w:eastAsia="Times New Roman" w:hAnsi="Times New Roman" w:cs="Times New Roman"/>
                <w:sz w:val="24"/>
                <w:szCs w:val="24"/>
                <w:lang w:eastAsia="lv-LV"/>
              </w:rPr>
              <w:t>Noteikumi par nepieciešamajām zināšanām un kompetenci, lai sniegtu ieguldījumu konsultācijas vai informāciju par finanšu instrumentiem, strukturētiem noguldījumiem, ieguldījumu pakalpojumiem vai ieguldījumu blakuspakalpojumiem</w:t>
            </w:r>
            <w:r w:rsidRPr="000A006C">
              <w:rPr>
                <w:rFonts w:ascii="Times New Roman" w:eastAsia="Times New Roman" w:hAnsi="Times New Roman" w:cs="Times New Roman"/>
                <w:sz w:val="24"/>
                <w:szCs w:val="24"/>
                <w:lang w:eastAsia="lv-LV"/>
              </w:rPr>
              <w:t>" (turpmāk</w:t>
            </w:r>
            <w:r w:rsidR="00605E40">
              <w:rPr>
                <w:rFonts w:ascii="Times New Roman" w:eastAsia="Times New Roman" w:hAnsi="Times New Roman" w:cs="Times New Roman"/>
                <w:sz w:val="24"/>
                <w:szCs w:val="24"/>
                <w:lang w:eastAsia="lv-LV"/>
              </w:rPr>
              <w:t> </w:t>
            </w:r>
            <w:r w:rsidR="00237E29">
              <w:rPr>
                <w:rFonts w:ascii="Times New Roman" w:eastAsia="Times New Roman" w:hAnsi="Times New Roman" w:cs="Times New Roman"/>
                <w:sz w:val="24"/>
                <w:szCs w:val="24"/>
                <w:lang w:eastAsia="lv-LV"/>
              </w:rPr>
              <w:t xml:space="preserve">– </w:t>
            </w:r>
            <w:r w:rsidRPr="000A006C">
              <w:rPr>
                <w:rFonts w:ascii="Times New Roman" w:eastAsia="Times New Roman" w:hAnsi="Times New Roman" w:cs="Times New Roman"/>
                <w:sz w:val="24"/>
                <w:szCs w:val="24"/>
                <w:lang w:eastAsia="lv-LV"/>
              </w:rPr>
              <w:t>noteikumu projekts), kas aizstās Finanšu un kapitāla tirgus komisijas 2020.</w:t>
            </w:r>
            <w:r w:rsidR="00237E29">
              <w:rPr>
                <w:rFonts w:ascii="Times New Roman" w:eastAsia="Times New Roman" w:hAnsi="Times New Roman" w:cs="Times New Roman"/>
                <w:sz w:val="24"/>
                <w:szCs w:val="24"/>
                <w:lang w:eastAsia="lv-LV"/>
              </w:rPr>
              <w:t> </w:t>
            </w:r>
            <w:r w:rsidRPr="000A006C">
              <w:rPr>
                <w:rFonts w:ascii="Times New Roman" w:eastAsia="Times New Roman" w:hAnsi="Times New Roman" w:cs="Times New Roman"/>
                <w:sz w:val="24"/>
                <w:szCs w:val="24"/>
                <w:lang w:eastAsia="lv-LV"/>
              </w:rPr>
              <w:t>gada 21.</w:t>
            </w:r>
            <w:r w:rsidR="00237E29">
              <w:rPr>
                <w:rFonts w:ascii="Times New Roman" w:eastAsia="Times New Roman" w:hAnsi="Times New Roman" w:cs="Times New Roman"/>
                <w:sz w:val="24"/>
                <w:szCs w:val="24"/>
                <w:lang w:eastAsia="lv-LV"/>
              </w:rPr>
              <w:t> </w:t>
            </w:r>
            <w:r w:rsidRPr="000A006C">
              <w:rPr>
                <w:rFonts w:ascii="Times New Roman" w:eastAsia="Times New Roman" w:hAnsi="Times New Roman" w:cs="Times New Roman"/>
                <w:sz w:val="24"/>
                <w:szCs w:val="24"/>
                <w:lang w:eastAsia="lv-LV"/>
              </w:rPr>
              <w:t>jūlija normatīvos noteikumus Nr.</w:t>
            </w:r>
            <w:r w:rsidR="00237E29">
              <w:rPr>
                <w:rFonts w:ascii="Times New Roman" w:eastAsia="Times New Roman" w:hAnsi="Times New Roman" w:cs="Times New Roman"/>
                <w:sz w:val="24"/>
                <w:szCs w:val="24"/>
                <w:lang w:eastAsia="lv-LV"/>
              </w:rPr>
              <w:t> </w:t>
            </w:r>
            <w:r w:rsidRPr="000A006C">
              <w:rPr>
                <w:rFonts w:ascii="Times New Roman" w:eastAsia="Times New Roman" w:hAnsi="Times New Roman" w:cs="Times New Roman"/>
                <w:sz w:val="24"/>
                <w:szCs w:val="24"/>
                <w:lang w:eastAsia="lv-LV"/>
              </w:rPr>
              <w:t>10</w:t>
            </w:r>
            <w:r>
              <w:rPr>
                <w:rFonts w:ascii="Times New Roman" w:eastAsia="Times New Roman" w:hAnsi="Times New Roman" w:cs="Times New Roman"/>
                <w:sz w:val="24"/>
                <w:szCs w:val="24"/>
                <w:lang w:eastAsia="lv-LV"/>
              </w:rPr>
              <w:t>5</w:t>
            </w:r>
            <w:r w:rsidRPr="000A006C">
              <w:rPr>
                <w:rFonts w:ascii="Times New Roman" w:eastAsia="Times New Roman" w:hAnsi="Times New Roman" w:cs="Times New Roman"/>
                <w:sz w:val="24"/>
                <w:szCs w:val="24"/>
                <w:lang w:eastAsia="lv-LV"/>
              </w:rPr>
              <w:t xml:space="preserve"> "Normatīvie noteikumi par </w:t>
            </w:r>
            <w:r>
              <w:rPr>
                <w:rFonts w:ascii="Times New Roman" w:eastAsia="Times New Roman" w:hAnsi="Times New Roman" w:cs="Times New Roman"/>
                <w:sz w:val="24"/>
                <w:szCs w:val="24"/>
                <w:lang w:eastAsia="lv-LV"/>
              </w:rPr>
              <w:t>darbinieku zināšanu un kompetences izvērtēšanu</w:t>
            </w:r>
            <w:r w:rsidRPr="000A006C">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(turpmāk</w:t>
            </w:r>
            <w:r w:rsidR="000E3E4E">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w:t>
            </w:r>
            <w:r w:rsidR="00237E29">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Noteikumi Nr.</w:t>
            </w:r>
            <w:r w:rsidR="00605E4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105)</w:t>
            </w:r>
            <w:r w:rsidRPr="000A006C">
              <w:rPr>
                <w:rFonts w:ascii="Times New Roman" w:eastAsia="Times New Roman" w:hAnsi="Times New Roman" w:cs="Times New Roman"/>
                <w:sz w:val="24"/>
                <w:szCs w:val="24"/>
                <w:lang w:eastAsia="lv-LV"/>
              </w:rPr>
              <w:t>.</w:t>
            </w:r>
          </w:p>
          <w:p w14:paraId="2A4A710A" w14:textId="42C7759B" w:rsidR="000A006C" w:rsidRDefault="00BC50EF" w:rsidP="000E3E4E">
            <w:pPr>
              <w:spacing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Atbilstoši </w:t>
            </w:r>
            <w:r w:rsidRPr="00BC50EF">
              <w:rPr>
                <w:rFonts w:ascii="Times New Roman" w:eastAsia="Times New Roman" w:hAnsi="Times New Roman" w:cs="Times New Roman"/>
                <w:sz w:val="24"/>
                <w:szCs w:val="24"/>
                <w:lang w:eastAsia="lv-LV"/>
              </w:rPr>
              <w:t>Finanšu instrumentu tirgus likuma</w:t>
            </w:r>
            <w:r>
              <w:rPr>
                <w:rFonts w:ascii="Times New Roman" w:eastAsia="Times New Roman" w:hAnsi="Times New Roman" w:cs="Times New Roman"/>
                <w:sz w:val="24"/>
                <w:szCs w:val="24"/>
                <w:lang w:eastAsia="lv-LV"/>
              </w:rPr>
              <w:t xml:space="preserve"> </w:t>
            </w:r>
            <w:r w:rsidRPr="000A006C">
              <w:rPr>
                <w:rFonts w:ascii="Times New Roman" w:eastAsia="Times New Roman" w:hAnsi="Times New Roman" w:cs="Times New Roman"/>
                <w:sz w:val="24"/>
                <w:szCs w:val="24"/>
                <w:lang w:eastAsia="lv-LV"/>
              </w:rPr>
              <w:t>128.</w:t>
            </w:r>
            <w:r>
              <w:rPr>
                <w:rFonts w:ascii="Times New Roman" w:eastAsia="Times New Roman" w:hAnsi="Times New Roman" w:cs="Times New Roman"/>
                <w:sz w:val="24"/>
                <w:szCs w:val="24"/>
                <w:lang w:eastAsia="lv-LV"/>
              </w:rPr>
              <w:t> </w:t>
            </w:r>
            <w:r w:rsidRPr="000A006C">
              <w:rPr>
                <w:rFonts w:ascii="Times New Roman" w:eastAsia="Times New Roman" w:hAnsi="Times New Roman" w:cs="Times New Roman"/>
                <w:sz w:val="24"/>
                <w:szCs w:val="24"/>
                <w:lang w:eastAsia="lv-LV"/>
              </w:rPr>
              <w:t xml:space="preserve">panta </w:t>
            </w:r>
            <w:r>
              <w:rPr>
                <w:rFonts w:ascii="Times New Roman" w:eastAsia="Times New Roman" w:hAnsi="Times New Roman" w:cs="Times New Roman"/>
                <w:sz w:val="24"/>
                <w:szCs w:val="24"/>
                <w:lang w:eastAsia="lv-LV"/>
              </w:rPr>
              <w:t>trešajai un ceturtajai daļai n</w:t>
            </w:r>
            <w:r w:rsidR="000A006C" w:rsidRPr="00053FF5">
              <w:rPr>
                <w:rFonts w:ascii="Times New Roman" w:eastAsia="Times New Roman" w:hAnsi="Times New Roman" w:cs="Times New Roman"/>
                <w:sz w:val="24"/>
                <w:szCs w:val="24"/>
                <w:lang w:eastAsia="lv-LV"/>
              </w:rPr>
              <w:t xml:space="preserve">oteikumu projekts būs saistošs Latvijā reģistrētām ieguldījumu brokeru sabiedrībām un kredītiestādēm, kas sniedz </w:t>
            </w:r>
            <w:r w:rsidR="003E6AEB" w:rsidRPr="003E6AEB">
              <w:rPr>
                <w:rFonts w:ascii="Times New Roman" w:eastAsia="Times New Roman" w:hAnsi="Times New Roman" w:cs="Times New Roman"/>
                <w:sz w:val="24"/>
                <w:szCs w:val="24"/>
                <w:lang w:eastAsia="lv-LV"/>
              </w:rPr>
              <w:t>ieguldījumu konsultācijas vai informāciju par finanšu instrumentiem, ieguldījumu pakalpojumiem vai ieguldījumu blakuspakalpojumiem</w:t>
            </w:r>
            <w:r>
              <w:rPr>
                <w:rFonts w:ascii="Times New Roman" w:eastAsia="Times New Roman" w:hAnsi="Times New Roman" w:cs="Times New Roman"/>
                <w:sz w:val="24"/>
                <w:szCs w:val="24"/>
                <w:lang w:eastAsia="lv-LV"/>
              </w:rPr>
              <w:t>. Atbilstoši</w:t>
            </w:r>
            <w:r w:rsidRPr="00BC50EF">
              <w:rPr>
                <w:rFonts w:ascii="Times New Roman" w:eastAsia="Times New Roman" w:hAnsi="Times New Roman" w:cs="Times New Roman"/>
                <w:sz w:val="24"/>
                <w:szCs w:val="24"/>
                <w:lang w:eastAsia="lv-LV"/>
              </w:rPr>
              <w:t xml:space="preserve"> Finanšu instrumentu tirgus likuma</w:t>
            </w:r>
            <w:r>
              <w:rPr>
                <w:rFonts w:ascii="Times New Roman" w:eastAsia="Times New Roman" w:hAnsi="Times New Roman" w:cs="Times New Roman"/>
                <w:sz w:val="24"/>
                <w:szCs w:val="24"/>
                <w:lang w:eastAsia="lv-LV"/>
              </w:rPr>
              <w:t xml:space="preserve"> 3. panta divpadsmitajai daļai n</w:t>
            </w:r>
            <w:r w:rsidRPr="00053FF5">
              <w:rPr>
                <w:rFonts w:ascii="Times New Roman" w:eastAsia="Times New Roman" w:hAnsi="Times New Roman" w:cs="Times New Roman"/>
                <w:sz w:val="24"/>
                <w:szCs w:val="24"/>
                <w:lang w:eastAsia="lv-LV"/>
              </w:rPr>
              <w:t>oteikumu projekts būs saistošs</w:t>
            </w:r>
            <w:r>
              <w:rPr>
                <w:rFonts w:ascii="Times New Roman" w:eastAsia="Times New Roman" w:hAnsi="Times New Roman" w:cs="Times New Roman"/>
                <w:sz w:val="24"/>
                <w:szCs w:val="24"/>
                <w:lang w:eastAsia="lv-LV"/>
              </w:rPr>
              <w:t xml:space="preserve"> arī </w:t>
            </w:r>
            <w:r w:rsidRPr="00BC50EF">
              <w:rPr>
                <w:rFonts w:ascii="Times New Roman" w:eastAsia="Times New Roman" w:hAnsi="Times New Roman" w:cs="Times New Roman"/>
                <w:sz w:val="24"/>
                <w:szCs w:val="24"/>
                <w:lang w:eastAsia="lv-LV"/>
              </w:rPr>
              <w:t>ieguldījumu brokeru sabiedrībām un kredītiestādēm</w:t>
            </w:r>
            <w:r w:rsidR="003E6AEB">
              <w:rPr>
                <w:rFonts w:ascii="Times New Roman" w:eastAsia="Times New Roman" w:hAnsi="Times New Roman" w:cs="Times New Roman"/>
                <w:sz w:val="24"/>
                <w:szCs w:val="24"/>
                <w:lang w:eastAsia="lv-LV"/>
              </w:rPr>
              <w:t>,</w:t>
            </w:r>
            <w:r w:rsidR="000A006C" w:rsidRPr="00053FF5">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kas </w:t>
            </w:r>
            <w:r w:rsidR="000A006C" w:rsidRPr="00053FF5">
              <w:rPr>
                <w:rFonts w:ascii="Times New Roman" w:eastAsia="Times New Roman" w:hAnsi="Times New Roman" w:cs="Times New Roman"/>
                <w:sz w:val="24"/>
                <w:szCs w:val="24"/>
                <w:lang w:eastAsia="lv-LV"/>
              </w:rPr>
              <w:t>pārdod strukturētos noguldījumus Finanšu instrumentu tirgus likuma 1.</w:t>
            </w:r>
            <w:r w:rsidR="00237E29">
              <w:rPr>
                <w:rFonts w:ascii="Times New Roman" w:eastAsia="Times New Roman" w:hAnsi="Times New Roman" w:cs="Times New Roman"/>
                <w:sz w:val="24"/>
                <w:szCs w:val="24"/>
                <w:lang w:eastAsia="lv-LV"/>
              </w:rPr>
              <w:t> </w:t>
            </w:r>
            <w:r w:rsidR="000A006C" w:rsidRPr="00053FF5">
              <w:rPr>
                <w:rFonts w:ascii="Times New Roman" w:eastAsia="Times New Roman" w:hAnsi="Times New Roman" w:cs="Times New Roman"/>
                <w:sz w:val="24"/>
                <w:szCs w:val="24"/>
                <w:lang w:eastAsia="lv-LV"/>
              </w:rPr>
              <w:t>panta pirmās daļas 8</w:t>
            </w:r>
            <w:r w:rsidR="00EA2F57">
              <w:rPr>
                <w:rFonts w:ascii="Times New Roman" w:eastAsia="Times New Roman" w:hAnsi="Times New Roman" w:cs="Times New Roman"/>
                <w:sz w:val="24"/>
                <w:szCs w:val="24"/>
                <w:lang w:eastAsia="lv-LV"/>
              </w:rPr>
              <w:t>5</w:t>
            </w:r>
            <w:r w:rsidR="000A006C" w:rsidRPr="00053FF5">
              <w:rPr>
                <w:rFonts w:ascii="Times New Roman" w:eastAsia="Times New Roman" w:hAnsi="Times New Roman" w:cs="Times New Roman"/>
                <w:sz w:val="24"/>
                <w:szCs w:val="24"/>
                <w:lang w:eastAsia="lv-LV"/>
              </w:rPr>
              <w:t>.</w:t>
            </w:r>
            <w:r w:rsidR="00237E29">
              <w:rPr>
                <w:rFonts w:ascii="Times New Roman" w:eastAsia="Times New Roman" w:hAnsi="Times New Roman" w:cs="Times New Roman"/>
                <w:sz w:val="24"/>
                <w:szCs w:val="24"/>
                <w:lang w:eastAsia="lv-LV"/>
              </w:rPr>
              <w:t> </w:t>
            </w:r>
            <w:r w:rsidR="000A006C" w:rsidRPr="00053FF5">
              <w:rPr>
                <w:rFonts w:ascii="Times New Roman" w:eastAsia="Times New Roman" w:hAnsi="Times New Roman" w:cs="Times New Roman"/>
                <w:sz w:val="24"/>
                <w:szCs w:val="24"/>
                <w:lang w:eastAsia="lv-LV"/>
              </w:rPr>
              <w:t>punkta izpratnē vai konsultē klientus par tiem</w:t>
            </w:r>
            <w:r w:rsidR="009F378E">
              <w:rPr>
                <w:rFonts w:ascii="Times New Roman" w:eastAsia="Times New Roman" w:hAnsi="Times New Roman" w:cs="Times New Roman"/>
                <w:sz w:val="24"/>
                <w:szCs w:val="24"/>
                <w:lang w:eastAsia="lv-LV"/>
              </w:rPr>
              <w:t xml:space="preserve">. </w:t>
            </w:r>
            <w:r w:rsidR="00513C75">
              <w:rPr>
                <w:rFonts w:ascii="Times New Roman" w:eastAsia="Times New Roman" w:hAnsi="Times New Roman" w:cs="Times New Roman"/>
                <w:sz w:val="24"/>
                <w:szCs w:val="24"/>
                <w:lang w:eastAsia="lv-LV"/>
              </w:rPr>
              <w:t>Atbilstoši</w:t>
            </w:r>
            <w:r w:rsidR="009F378E">
              <w:rPr>
                <w:rFonts w:ascii="Times New Roman" w:eastAsia="Times New Roman" w:hAnsi="Times New Roman" w:cs="Times New Roman"/>
                <w:sz w:val="24"/>
                <w:szCs w:val="24"/>
                <w:lang w:eastAsia="lv-LV"/>
              </w:rPr>
              <w:t xml:space="preserve"> Ieguldījumu pārvaldes sabiedrību likuma 13. panta otrās daļas 6.</w:t>
            </w:r>
            <w:r w:rsidR="00F548B4">
              <w:rPr>
                <w:rFonts w:ascii="Times New Roman" w:eastAsia="Times New Roman" w:hAnsi="Times New Roman" w:cs="Times New Roman"/>
                <w:sz w:val="24"/>
                <w:szCs w:val="24"/>
                <w:lang w:eastAsia="lv-LV"/>
              </w:rPr>
              <w:t> </w:t>
            </w:r>
            <w:r w:rsidR="009F378E">
              <w:rPr>
                <w:rFonts w:ascii="Times New Roman" w:eastAsia="Times New Roman" w:hAnsi="Times New Roman" w:cs="Times New Roman"/>
                <w:sz w:val="24"/>
                <w:szCs w:val="24"/>
                <w:lang w:eastAsia="lv-LV"/>
              </w:rPr>
              <w:t>punkta</w:t>
            </w:r>
            <w:r>
              <w:rPr>
                <w:rFonts w:ascii="Times New Roman" w:eastAsia="Times New Roman" w:hAnsi="Times New Roman" w:cs="Times New Roman"/>
                <w:sz w:val="24"/>
                <w:szCs w:val="24"/>
                <w:lang w:eastAsia="lv-LV"/>
              </w:rPr>
              <w:t>,</w:t>
            </w:r>
            <w:r w:rsidR="009F378E">
              <w:rPr>
                <w:rFonts w:ascii="Times New Roman" w:eastAsia="Times New Roman" w:hAnsi="Times New Roman" w:cs="Times New Roman"/>
                <w:sz w:val="24"/>
                <w:szCs w:val="24"/>
                <w:lang w:eastAsia="lv-LV"/>
              </w:rPr>
              <w:t xml:space="preserve"> Alternatīvo ieguldījumu fondu un to pārvaldnieku likuma</w:t>
            </w:r>
            <w:r w:rsidR="00666096">
              <w:rPr>
                <w:rFonts w:ascii="Times New Roman" w:eastAsia="Times New Roman" w:hAnsi="Times New Roman" w:cs="Times New Roman"/>
                <w:sz w:val="24"/>
                <w:szCs w:val="24"/>
                <w:lang w:eastAsia="lv-LV"/>
              </w:rPr>
              <w:t xml:space="preserve"> 22. panta </w:t>
            </w:r>
            <w:r>
              <w:rPr>
                <w:rFonts w:ascii="Times New Roman" w:eastAsia="Times New Roman" w:hAnsi="Times New Roman" w:cs="Times New Roman"/>
                <w:sz w:val="24"/>
                <w:szCs w:val="24"/>
                <w:lang w:eastAsia="lv-LV"/>
              </w:rPr>
              <w:t xml:space="preserve">ceturtās daļas 5. punkta un Eiropas Vērtspapīru un tirgu iestādes 2016. gada 22. marta pamatnostādņu Nr. ESMA/2015/1886 LV </w:t>
            </w:r>
            <w:r w:rsidRPr="000A006C">
              <w:rPr>
                <w:rFonts w:ascii="Times New Roman" w:eastAsia="Times New Roman" w:hAnsi="Times New Roman" w:cs="Times New Roman"/>
                <w:sz w:val="24"/>
                <w:szCs w:val="24"/>
                <w:lang w:eastAsia="lv-LV"/>
              </w:rPr>
              <w:t>"Pamatnostādnes zināšanu un kompetences izvērtēšanai"</w:t>
            </w:r>
            <w:r>
              <w:rPr>
                <w:rFonts w:ascii="Times New Roman" w:eastAsia="Times New Roman" w:hAnsi="Times New Roman" w:cs="Times New Roman"/>
                <w:sz w:val="24"/>
                <w:szCs w:val="24"/>
                <w:lang w:eastAsia="lv-LV"/>
              </w:rPr>
              <w:t xml:space="preserve"> (turpmāk – Pamatnostādnes)</w:t>
            </w:r>
            <w:r w:rsidR="00666096">
              <w:rPr>
                <w:rFonts w:ascii="Times New Roman" w:eastAsia="Times New Roman" w:hAnsi="Times New Roman" w:cs="Times New Roman"/>
                <w:sz w:val="24"/>
                <w:szCs w:val="24"/>
                <w:lang w:eastAsia="lv-LV"/>
              </w:rPr>
              <w:t xml:space="preserve"> prasīb</w:t>
            </w:r>
            <w:r w:rsidR="00513C75">
              <w:rPr>
                <w:rFonts w:ascii="Times New Roman" w:eastAsia="Times New Roman" w:hAnsi="Times New Roman" w:cs="Times New Roman"/>
                <w:sz w:val="24"/>
                <w:szCs w:val="24"/>
                <w:lang w:eastAsia="lv-LV"/>
              </w:rPr>
              <w:t>ām</w:t>
            </w:r>
            <w:r w:rsidR="00666096">
              <w:rPr>
                <w:rFonts w:ascii="Times New Roman" w:eastAsia="Times New Roman" w:hAnsi="Times New Roman" w:cs="Times New Roman"/>
                <w:sz w:val="24"/>
                <w:szCs w:val="24"/>
                <w:lang w:eastAsia="lv-LV"/>
              </w:rPr>
              <w:t xml:space="preserve"> noteikumu projekts būs saistošs arī Latvijā reģistrētām </w:t>
            </w:r>
            <w:r w:rsidR="000A006C" w:rsidRPr="00053FF5">
              <w:rPr>
                <w:rFonts w:ascii="Times New Roman" w:eastAsia="Times New Roman" w:hAnsi="Times New Roman" w:cs="Times New Roman"/>
                <w:sz w:val="24"/>
                <w:szCs w:val="24"/>
                <w:lang w:eastAsia="lv-LV"/>
              </w:rPr>
              <w:t>ieguldījumu pārvaldes sabiedrībām, kas sniedz portfeļa pārvaldības pakalpojumus Finanšu instrumentu tirgus likuma 1.</w:t>
            </w:r>
            <w:r w:rsidR="00237E29">
              <w:rPr>
                <w:rFonts w:ascii="Times New Roman" w:eastAsia="Times New Roman" w:hAnsi="Times New Roman" w:cs="Times New Roman"/>
                <w:sz w:val="24"/>
                <w:szCs w:val="24"/>
                <w:lang w:eastAsia="lv-LV"/>
              </w:rPr>
              <w:t> </w:t>
            </w:r>
            <w:r w:rsidR="000A006C" w:rsidRPr="00053FF5">
              <w:rPr>
                <w:rFonts w:ascii="Times New Roman" w:eastAsia="Times New Roman" w:hAnsi="Times New Roman" w:cs="Times New Roman"/>
                <w:sz w:val="24"/>
                <w:szCs w:val="24"/>
                <w:lang w:eastAsia="lv-LV"/>
              </w:rPr>
              <w:t>panta pirmās daļas 58.</w:t>
            </w:r>
            <w:r w:rsidR="00237E29">
              <w:rPr>
                <w:rFonts w:ascii="Times New Roman" w:eastAsia="Times New Roman" w:hAnsi="Times New Roman" w:cs="Times New Roman"/>
                <w:sz w:val="24"/>
                <w:szCs w:val="24"/>
                <w:lang w:eastAsia="lv-LV"/>
              </w:rPr>
              <w:t> </w:t>
            </w:r>
            <w:r w:rsidR="000A006C" w:rsidRPr="00053FF5">
              <w:rPr>
                <w:rFonts w:ascii="Times New Roman" w:eastAsia="Times New Roman" w:hAnsi="Times New Roman" w:cs="Times New Roman"/>
                <w:sz w:val="24"/>
                <w:szCs w:val="24"/>
                <w:lang w:eastAsia="lv-LV"/>
              </w:rPr>
              <w:t xml:space="preserve">punkta izpratnē saskaņā ar Ieguldījumu pārvaldes sabiedrību </w:t>
            </w:r>
            <w:r w:rsidR="000A006C" w:rsidRPr="00053FF5">
              <w:rPr>
                <w:rFonts w:ascii="Times New Roman" w:eastAsia="Times New Roman" w:hAnsi="Times New Roman" w:cs="Times New Roman"/>
                <w:sz w:val="24"/>
                <w:szCs w:val="24"/>
                <w:lang w:eastAsia="lv-LV"/>
              </w:rPr>
              <w:lastRenderedPageBreak/>
              <w:t>likuma 5.</w:t>
            </w:r>
            <w:r w:rsidR="00237E29">
              <w:rPr>
                <w:rFonts w:ascii="Times New Roman" w:eastAsia="Times New Roman" w:hAnsi="Times New Roman" w:cs="Times New Roman"/>
                <w:sz w:val="24"/>
                <w:szCs w:val="24"/>
                <w:lang w:eastAsia="lv-LV"/>
              </w:rPr>
              <w:t> </w:t>
            </w:r>
            <w:r w:rsidR="000A006C" w:rsidRPr="00053FF5">
              <w:rPr>
                <w:rFonts w:ascii="Times New Roman" w:eastAsia="Times New Roman" w:hAnsi="Times New Roman" w:cs="Times New Roman"/>
                <w:sz w:val="24"/>
                <w:szCs w:val="24"/>
                <w:lang w:eastAsia="lv-LV"/>
              </w:rPr>
              <w:t>panta otro daļu vai pakalpojumus saskaņā ar Ieguldījumu pārvaldes sabiedrību likuma 5.</w:t>
            </w:r>
            <w:r w:rsidR="00237E29">
              <w:rPr>
                <w:rFonts w:ascii="Times New Roman" w:eastAsia="Times New Roman" w:hAnsi="Times New Roman" w:cs="Times New Roman"/>
                <w:sz w:val="24"/>
                <w:szCs w:val="24"/>
                <w:lang w:eastAsia="lv-LV"/>
              </w:rPr>
              <w:t> </w:t>
            </w:r>
            <w:r w:rsidR="000A006C" w:rsidRPr="00053FF5">
              <w:rPr>
                <w:rFonts w:ascii="Times New Roman" w:eastAsia="Times New Roman" w:hAnsi="Times New Roman" w:cs="Times New Roman"/>
                <w:sz w:val="24"/>
                <w:szCs w:val="24"/>
                <w:lang w:eastAsia="lv-LV"/>
              </w:rPr>
              <w:t>panta trešo daļu</w:t>
            </w:r>
            <w:r w:rsidR="00F548B4">
              <w:rPr>
                <w:rFonts w:ascii="Times New Roman" w:eastAsia="Times New Roman" w:hAnsi="Times New Roman" w:cs="Times New Roman"/>
                <w:sz w:val="24"/>
                <w:szCs w:val="24"/>
                <w:lang w:eastAsia="lv-LV"/>
              </w:rPr>
              <w:t>,</w:t>
            </w:r>
            <w:r w:rsidR="000A006C" w:rsidRPr="00053FF5">
              <w:rPr>
                <w:rFonts w:ascii="Times New Roman" w:eastAsia="Times New Roman" w:hAnsi="Times New Roman" w:cs="Times New Roman"/>
                <w:sz w:val="24"/>
                <w:szCs w:val="24"/>
                <w:lang w:eastAsia="lv-LV"/>
              </w:rPr>
              <w:t xml:space="preserve"> un ārējiem licencētiem alternatīvo ieguldījumu fondu pārvaldniekiem, kas sniedz portfeļa pārvaldības pakalpojumus Finanšu instrumentu tirgus likuma 1.</w:t>
            </w:r>
            <w:r w:rsidR="00237E29">
              <w:rPr>
                <w:rFonts w:ascii="Times New Roman" w:eastAsia="Times New Roman" w:hAnsi="Times New Roman" w:cs="Times New Roman"/>
                <w:sz w:val="24"/>
                <w:szCs w:val="24"/>
                <w:lang w:eastAsia="lv-LV"/>
              </w:rPr>
              <w:t> </w:t>
            </w:r>
            <w:r w:rsidR="000A006C" w:rsidRPr="00053FF5">
              <w:rPr>
                <w:rFonts w:ascii="Times New Roman" w:eastAsia="Times New Roman" w:hAnsi="Times New Roman" w:cs="Times New Roman"/>
                <w:sz w:val="24"/>
                <w:szCs w:val="24"/>
                <w:lang w:eastAsia="lv-LV"/>
              </w:rPr>
              <w:t>panta pirmās daļas 58.</w:t>
            </w:r>
            <w:r w:rsidR="00237E29">
              <w:rPr>
                <w:rFonts w:ascii="Times New Roman" w:eastAsia="Times New Roman" w:hAnsi="Times New Roman" w:cs="Times New Roman"/>
                <w:sz w:val="24"/>
                <w:szCs w:val="24"/>
                <w:lang w:eastAsia="lv-LV"/>
              </w:rPr>
              <w:t> </w:t>
            </w:r>
            <w:r w:rsidR="000A006C" w:rsidRPr="00053FF5">
              <w:rPr>
                <w:rFonts w:ascii="Times New Roman" w:eastAsia="Times New Roman" w:hAnsi="Times New Roman" w:cs="Times New Roman"/>
                <w:sz w:val="24"/>
                <w:szCs w:val="24"/>
                <w:lang w:eastAsia="lv-LV"/>
              </w:rPr>
              <w:t>punkta izpratnē saskaņā ar Alternatīvo ieguldījumu fondu un to pārvaldnieku likuma 5.</w:t>
            </w:r>
            <w:r w:rsidR="00237E29">
              <w:rPr>
                <w:rFonts w:ascii="Times New Roman" w:eastAsia="Times New Roman" w:hAnsi="Times New Roman" w:cs="Times New Roman"/>
                <w:sz w:val="24"/>
                <w:szCs w:val="24"/>
                <w:lang w:eastAsia="lv-LV"/>
              </w:rPr>
              <w:t> </w:t>
            </w:r>
            <w:r w:rsidR="000A006C" w:rsidRPr="00053FF5">
              <w:rPr>
                <w:rFonts w:ascii="Times New Roman" w:eastAsia="Times New Roman" w:hAnsi="Times New Roman" w:cs="Times New Roman"/>
                <w:sz w:val="24"/>
                <w:szCs w:val="24"/>
                <w:lang w:eastAsia="lv-LV"/>
              </w:rPr>
              <w:t>panta septīto daļu vai pakalpojumus saskaņā ar Alternatīvo ieguldījumu fondu un to pārvaldnieku likuma 5.</w:t>
            </w:r>
            <w:r w:rsidR="00237E29">
              <w:rPr>
                <w:rFonts w:ascii="Times New Roman" w:eastAsia="Times New Roman" w:hAnsi="Times New Roman" w:cs="Times New Roman"/>
                <w:sz w:val="24"/>
                <w:szCs w:val="24"/>
                <w:lang w:eastAsia="lv-LV"/>
              </w:rPr>
              <w:t> </w:t>
            </w:r>
            <w:r w:rsidR="000A006C" w:rsidRPr="00053FF5">
              <w:rPr>
                <w:rFonts w:ascii="Times New Roman" w:eastAsia="Times New Roman" w:hAnsi="Times New Roman" w:cs="Times New Roman"/>
                <w:sz w:val="24"/>
                <w:szCs w:val="24"/>
                <w:lang w:eastAsia="lv-LV"/>
              </w:rPr>
              <w:t>panta astoto daļu (turpmāk kopā</w:t>
            </w:r>
            <w:r w:rsidR="000E3E4E" w:rsidRPr="00053FF5">
              <w:rPr>
                <w:rFonts w:ascii="Times New Roman" w:eastAsia="Times New Roman" w:hAnsi="Times New Roman" w:cs="Times New Roman"/>
                <w:sz w:val="24"/>
                <w:szCs w:val="24"/>
                <w:lang w:eastAsia="lv-LV"/>
              </w:rPr>
              <w:t> </w:t>
            </w:r>
            <w:r w:rsidR="000A006C" w:rsidRPr="00053FF5">
              <w:rPr>
                <w:rFonts w:ascii="Times New Roman" w:eastAsia="Times New Roman" w:hAnsi="Times New Roman" w:cs="Times New Roman"/>
                <w:sz w:val="24"/>
                <w:szCs w:val="24"/>
                <w:lang w:eastAsia="lv-LV"/>
              </w:rPr>
              <w:t>–</w:t>
            </w:r>
            <w:r w:rsidR="00237E29">
              <w:rPr>
                <w:rFonts w:ascii="Times New Roman" w:eastAsia="Times New Roman" w:hAnsi="Times New Roman" w:cs="Times New Roman"/>
                <w:sz w:val="24"/>
                <w:szCs w:val="24"/>
                <w:lang w:eastAsia="lv-LV"/>
              </w:rPr>
              <w:t xml:space="preserve"> </w:t>
            </w:r>
            <w:r w:rsidR="000A006C" w:rsidRPr="00053FF5">
              <w:rPr>
                <w:rFonts w:ascii="Times New Roman" w:eastAsia="Times New Roman" w:hAnsi="Times New Roman" w:cs="Times New Roman"/>
                <w:sz w:val="24"/>
                <w:szCs w:val="24"/>
                <w:lang w:eastAsia="lv-LV"/>
              </w:rPr>
              <w:t>tirgus dalībnieks)</w:t>
            </w:r>
            <w:r w:rsidR="000E3E4E" w:rsidRPr="00053FF5">
              <w:rPr>
                <w:rFonts w:ascii="Times New Roman" w:eastAsia="Times New Roman" w:hAnsi="Times New Roman" w:cs="Times New Roman"/>
                <w:sz w:val="24"/>
                <w:szCs w:val="24"/>
                <w:lang w:eastAsia="lv-LV"/>
              </w:rPr>
              <w:t>.</w:t>
            </w:r>
          </w:p>
          <w:p w14:paraId="0E883F3F" w14:textId="076F30E6" w:rsidR="000A006C" w:rsidRPr="009F378E" w:rsidRDefault="000A006C" w:rsidP="004553B1">
            <w:pPr>
              <w:spacing w:after="0" w:line="240" w:lineRule="auto"/>
              <w:jc w:val="both"/>
              <w:rPr>
                <w:rFonts w:ascii="Times New Roman" w:eastAsia="Times New Roman" w:hAnsi="Times New Roman" w:cs="Times New Roman"/>
                <w:sz w:val="24"/>
                <w:szCs w:val="24"/>
                <w:lang w:eastAsia="lv-LV"/>
              </w:rPr>
            </w:pPr>
            <w:r w:rsidRPr="000A006C">
              <w:rPr>
                <w:rFonts w:ascii="Times New Roman" w:eastAsia="Times New Roman" w:hAnsi="Times New Roman" w:cs="Times New Roman"/>
                <w:sz w:val="24"/>
                <w:szCs w:val="24"/>
                <w:lang w:eastAsia="lv-LV"/>
              </w:rPr>
              <w:t>Noteikumu projekts nodrošina</w:t>
            </w:r>
            <w:r w:rsidR="00BC50EF">
              <w:rPr>
                <w:rFonts w:ascii="Times New Roman" w:eastAsia="Times New Roman" w:hAnsi="Times New Roman" w:cs="Times New Roman"/>
                <w:sz w:val="24"/>
                <w:szCs w:val="24"/>
                <w:lang w:eastAsia="lv-LV"/>
              </w:rPr>
              <w:t xml:space="preserve"> Pamatnostādņu</w:t>
            </w:r>
            <w:r w:rsidR="00605E40">
              <w:rPr>
                <w:rFonts w:ascii="Times New Roman" w:eastAsia="Times New Roman" w:hAnsi="Times New Roman" w:cs="Times New Roman"/>
                <w:sz w:val="24"/>
                <w:szCs w:val="24"/>
                <w:lang w:eastAsia="lv-LV"/>
              </w:rPr>
              <w:t>, kā arī Eiropas Parlamenta un Padomes 2014. gada 15. maija direktīvas</w:t>
            </w:r>
            <w:r w:rsidR="00F548B4">
              <w:rPr>
                <w:rFonts w:ascii="Times New Roman" w:eastAsia="Times New Roman" w:hAnsi="Times New Roman" w:cs="Times New Roman"/>
                <w:sz w:val="24"/>
                <w:szCs w:val="24"/>
                <w:lang w:eastAsia="lv-LV"/>
              </w:rPr>
              <w:t> </w:t>
            </w:r>
            <w:r w:rsidR="00605E40">
              <w:rPr>
                <w:rFonts w:ascii="Times New Roman" w:eastAsia="Times New Roman" w:hAnsi="Times New Roman" w:cs="Times New Roman"/>
                <w:sz w:val="24"/>
                <w:szCs w:val="24"/>
                <w:lang w:eastAsia="lv-LV"/>
              </w:rPr>
              <w:t>2014/65/ES par finanšu instrumentu tirgiem un ar ko groza direktīvu</w:t>
            </w:r>
            <w:r w:rsidR="00F548B4">
              <w:rPr>
                <w:rFonts w:ascii="Times New Roman" w:eastAsia="Times New Roman" w:hAnsi="Times New Roman" w:cs="Times New Roman"/>
                <w:sz w:val="24"/>
                <w:szCs w:val="24"/>
                <w:lang w:eastAsia="lv-LV"/>
              </w:rPr>
              <w:t> </w:t>
            </w:r>
            <w:r w:rsidR="00605E40">
              <w:rPr>
                <w:rFonts w:ascii="Times New Roman" w:eastAsia="Times New Roman" w:hAnsi="Times New Roman" w:cs="Times New Roman"/>
                <w:sz w:val="24"/>
                <w:szCs w:val="24"/>
                <w:lang w:eastAsia="lv-LV"/>
              </w:rPr>
              <w:t>2002/92/ES</w:t>
            </w:r>
            <w:r w:rsidR="000E3E4E">
              <w:rPr>
                <w:rFonts w:ascii="Times New Roman" w:eastAsia="Times New Roman" w:hAnsi="Times New Roman" w:cs="Times New Roman"/>
                <w:sz w:val="24"/>
                <w:szCs w:val="24"/>
                <w:lang w:eastAsia="lv-LV"/>
              </w:rPr>
              <w:t xml:space="preserve"> </w:t>
            </w:r>
            <w:r w:rsidR="00605E40">
              <w:rPr>
                <w:rFonts w:ascii="Times New Roman" w:eastAsia="Times New Roman" w:hAnsi="Times New Roman" w:cs="Times New Roman"/>
                <w:sz w:val="24"/>
                <w:szCs w:val="24"/>
                <w:lang w:eastAsia="lv-LV"/>
              </w:rPr>
              <w:t>un direktīvu</w:t>
            </w:r>
            <w:r w:rsidR="00F548B4">
              <w:rPr>
                <w:rFonts w:ascii="Times New Roman" w:eastAsia="Times New Roman" w:hAnsi="Times New Roman" w:cs="Times New Roman"/>
                <w:sz w:val="24"/>
                <w:szCs w:val="24"/>
                <w:lang w:eastAsia="lv-LV"/>
              </w:rPr>
              <w:t> </w:t>
            </w:r>
            <w:r w:rsidR="00605E40">
              <w:rPr>
                <w:rFonts w:ascii="Times New Roman" w:eastAsia="Times New Roman" w:hAnsi="Times New Roman" w:cs="Times New Roman"/>
                <w:sz w:val="24"/>
                <w:szCs w:val="24"/>
                <w:lang w:eastAsia="lv-LV"/>
              </w:rPr>
              <w:t>2011/61/ES (turpmāk</w:t>
            </w:r>
            <w:r w:rsidR="00237E29">
              <w:rPr>
                <w:rFonts w:ascii="Times New Roman" w:eastAsia="Times New Roman" w:hAnsi="Times New Roman" w:cs="Times New Roman"/>
                <w:sz w:val="24"/>
                <w:szCs w:val="24"/>
                <w:lang w:eastAsia="lv-LV"/>
              </w:rPr>
              <w:t> </w:t>
            </w:r>
            <w:r w:rsidR="00605E40">
              <w:rPr>
                <w:rFonts w:ascii="Times New Roman" w:eastAsia="Times New Roman" w:hAnsi="Times New Roman" w:cs="Times New Roman"/>
                <w:sz w:val="24"/>
                <w:szCs w:val="24"/>
                <w:lang w:eastAsia="lv-LV"/>
              </w:rPr>
              <w:t>– Direktīva</w:t>
            </w:r>
            <w:r w:rsidR="00237E29">
              <w:rPr>
                <w:rFonts w:ascii="Times New Roman" w:eastAsia="Times New Roman" w:hAnsi="Times New Roman" w:cs="Times New Roman"/>
                <w:sz w:val="24"/>
                <w:szCs w:val="24"/>
                <w:lang w:eastAsia="lv-LV"/>
              </w:rPr>
              <w:t xml:space="preserve"> </w:t>
            </w:r>
            <w:r w:rsidR="00605E40">
              <w:rPr>
                <w:rFonts w:ascii="Times New Roman" w:eastAsia="Times New Roman" w:hAnsi="Times New Roman" w:cs="Times New Roman"/>
                <w:sz w:val="24"/>
                <w:szCs w:val="24"/>
                <w:lang w:eastAsia="lv-LV"/>
              </w:rPr>
              <w:t xml:space="preserve">Nr. 2014/65/ES) 25. panta 1. punkta </w:t>
            </w:r>
            <w:r w:rsidR="00B759B4">
              <w:rPr>
                <w:rFonts w:ascii="Times New Roman" w:eastAsia="Times New Roman" w:hAnsi="Times New Roman" w:cs="Times New Roman"/>
                <w:sz w:val="24"/>
                <w:szCs w:val="24"/>
                <w:lang w:eastAsia="lv-LV"/>
              </w:rPr>
              <w:t>pēdējā teikuma pārņemšanu</w:t>
            </w:r>
            <w:r>
              <w:rPr>
                <w:rFonts w:ascii="Times New Roman" w:eastAsia="Times New Roman" w:hAnsi="Times New Roman" w:cs="Times New Roman"/>
                <w:sz w:val="24"/>
                <w:szCs w:val="24"/>
                <w:lang w:eastAsia="lv-LV"/>
              </w:rPr>
              <w:t xml:space="preserve"> Latvijas finanšu sektoru </w:t>
            </w:r>
            <w:r w:rsidRPr="009F378E">
              <w:rPr>
                <w:rFonts w:ascii="Times New Roman" w:eastAsia="Times New Roman" w:hAnsi="Times New Roman" w:cs="Times New Roman"/>
                <w:sz w:val="24"/>
                <w:szCs w:val="24"/>
                <w:lang w:eastAsia="lv-LV"/>
              </w:rPr>
              <w:t>regulējošajā normatīvajā bāzē un nosaka prasības</w:t>
            </w:r>
            <w:r w:rsidR="004553B1" w:rsidRPr="009F378E">
              <w:rPr>
                <w:rFonts w:ascii="Times New Roman" w:eastAsia="Times New Roman" w:hAnsi="Times New Roman" w:cs="Times New Roman"/>
                <w:sz w:val="24"/>
                <w:szCs w:val="24"/>
                <w:lang w:eastAsia="lv-LV"/>
              </w:rPr>
              <w:t>:</w:t>
            </w:r>
          </w:p>
          <w:p w14:paraId="2204B47D" w14:textId="46C9374F" w:rsidR="004553B1" w:rsidRPr="009F378E" w:rsidRDefault="004553B1" w:rsidP="004553B1">
            <w:pPr>
              <w:spacing w:after="0" w:line="240" w:lineRule="auto"/>
              <w:jc w:val="both"/>
              <w:rPr>
                <w:rFonts w:ascii="Times New Roman" w:eastAsia="Times New Roman" w:hAnsi="Times New Roman" w:cs="Times New Roman"/>
                <w:sz w:val="24"/>
                <w:szCs w:val="24"/>
                <w:lang w:eastAsia="lv-LV"/>
              </w:rPr>
            </w:pPr>
            <w:r w:rsidRPr="009F378E">
              <w:rPr>
                <w:rFonts w:ascii="Times New Roman" w:eastAsia="Times New Roman" w:hAnsi="Times New Roman" w:cs="Times New Roman"/>
                <w:sz w:val="24"/>
                <w:szCs w:val="24"/>
                <w:lang w:eastAsia="lv-LV"/>
              </w:rPr>
              <w:t>1</w:t>
            </w:r>
            <w:r w:rsidR="00F548B4">
              <w:rPr>
                <w:rFonts w:ascii="Times New Roman" w:eastAsia="Times New Roman" w:hAnsi="Times New Roman" w:cs="Times New Roman"/>
                <w:sz w:val="24"/>
                <w:szCs w:val="24"/>
                <w:lang w:eastAsia="lv-LV"/>
              </w:rPr>
              <w:t>) </w:t>
            </w:r>
            <w:r w:rsidR="00FF4BEB">
              <w:rPr>
                <w:rFonts w:ascii="Times New Roman" w:eastAsia="Times New Roman" w:hAnsi="Times New Roman" w:cs="Times New Roman"/>
                <w:sz w:val="24"/>
                <w:szCs w:val="24"/>
                <w:lang w:eastAsia="lv-LV"/>
              </w:rPr>
              <w:t xml:space="preserve">to </w:t>
            </w:r>
            <w:r w:rsidR="00062034">
              <w:rPr>
                <w:rFonts w:ascii="Times New Roman" w:eastAsia="Times New Roman" w:hAnsi="Times New Roman" w:cs="Times New Roman"/>
                <w:sz w:val="24"/>
                <w:szCs w:val="24"/>
                <w:lang w:eastAsia="lv-LV"/>
              </w:rPr>
              <w:t xml:space="preserve">tirgus dalībnieku </w:t>
            </w:r>
            <w:r w:rsidRPr="009F378E">
              <w:rPr>
                <w:rFonts w:ascii="Times New Roman" w:eastAsia="Times New Roman" w:hAnsi="Times New Roman" w:cs="Times New Roman"/>
                <w:sz w:val="24"/>
                <w:szCs w:val="24"/>
                <w:lang w:eastAsia="lv-LV"/>
              </w:rPr>
              <w:t xml:space="preserve">darbinieku, tostarp piesaistīto aģentu, </w:t>
            </w:r>
            <w:r w:rsidR="00FF4BEB" w:rsidRPr="009F378E">
              <w:rPr>
                <w:rFonts w:ascii="Times New Roman" w:eastAsia="Times New Roman" w:hAnsi="Times New Roman" w:cs="Times New Roman"/>
                <w:sz w:val="24"/>
                <w:szCs w:val="24"/>
                <w:lang w:eastAsia="lv-LV"/>
              </w:rPr>
              <w:t>zināšanām un kompetencei</w:t>
            </w:r>
            <w:r w:rsidR="00FF4BEB">
              <w:rPr>
                <w:rFonts w:ascii="Times New Roman" w:eastAsia="Times New Roman" w:hAnsi="Times New Roman" w:cs="Times New Roman"/>
                <w:sz w:val="24"/>
                <w:szCs w:val="24"/>
                <w:lang w:eastAsia="lv-LV"/>
              </w:rPr>
              <w:t>,</w:t>
            </w:r>
            <w:r w:rsidR="00FF4BEB" w:rsidRPr="009F378E">
              <w:rPr>
                <w:rFonts w:ascii="Times New Roman" w:eastAsia="Times New Roman" w:hAnsi="Times New Roman" w:cs="Times New Roman"/>
                <w:sz w:val="24"/>
                <w:szCs w:val="24"/>
                <w:lang w:eastAsia="lv-LV"/>
              </w:rPr>
              <w:t xml:space="preserve"> </w:t>
            </w:r>
            <w:r w:rsidRPr="009F378E">
              <w:rPr>
                <w:rFonts w:ascii="Times New Roman" w:eastAsia="Times New Roman" w:hAnsi="Times New Roman" w:cs="Times New Roman"/>
                <w:sz w:val="24"/>
                <w:szCs w:val="24"/>
                <w:lang w:eastAsia="lv-LV"/>
              </w:rPr>
              <w:t>kuriem ir tiesības tirgus dalībnieka vārdā sniegt klientiem ieguldījumu konsultācijas vai informāciju par finanšu instrumentiem, strukturētiem noguldījumiem, ieguldījumu pakalpojumiem vai ieguldījumu blakuspakalpojumiem;</w:t>
            </w:r>
          </w:p>
          <w:p w14:paraId="298CDA15" w14:textId="018B1C00" w:rsidR="004553B1" w:rsidRDefault="004553B1" w:rsidP="004553B1">
            <w:pPr>
              <w:spacing w:after="0" w:line="240" w:lineRule="auto"/>
              <w:jc w:val="both"/>
              <w:rPr>
                <w:rFonts w:ascii="Times New Roman" w:eastAsia="Times New Roman" w:hAnsi="Times New Roman" w:cs="Times New Roman"/>
                <w:sz w:val="24"/>
                <w:szCs w:val="24"/>
                <w:lang w:eastAsia="lv-LV"/>
              </w:rPr>
            </w:pPr>
            <w:r w:rsidRPr="009F378E">
              <w:rPr>
                <w:rFonts w:ascii="Times New Roman" w:eastAsia="Times New Roman" w:hAnsi="Times New Roman" w:cs="Times New Roman"/>
                <w:sz w:val="24"/>
                <w:szCs w:val="24"/>
                <w:lang w:eastAsia="lv-LV"/>
              </w:rPr>
              <w:t>2</w:t>
            </w:r>
            <w:r w:rsidR="00F548B4">
              <w:rPr>
                <w:rFonts w:ascii="Times New Roman" w:eastAsia="Times New Roman" w:hAnsi="Times New Roman" w:cs="Times New Roman"/>
                <w:sz w:val="24"/>
                <w:szCs w:val="24"/>
                <w:lang w:eastAsia="lv-LV"/>
              </w:rPr>
              <w:t>)</w:t>
            </w:r>
            <w:r w:rsidR="00DC09F3">
              <w:rPr>
                <w:rFonts w:ascii="Times New Roman" w:eastAsia="Times New Roman" w:hAnsi="Times New Roman" w:cs="Times New Roman"/>
                <w:sz w:val="24"/>
                <w:szCs w:val="24"/>
                <w:lang w:eastAsia="lv-LV"/>
              </w:rPr>
              <w:t xml:space="preserve"> </w:t>
            </w:r>
            <w:r w:rsidRPr="009F378E">
              <w:rPr>
                <w:rFonts w:ascii="Times New Roman" w:eastAsia="Times New Roman" w:hAnsi="Times New Roman" w:cs="Times New Roman"/>
                <w:sz w:val="24"/>
                <w:szCs w:val="24"/>
                <w:lang w:eastAsia="lv-LV"/>
              </w:rPr>
              <w:t>minēto darbinieku zināšanu un kompetences</w:t>
            </w:r>
            <w:r w:rsidR="009F378E" w:rsidRPr="009F378E">
              <w:rPr>
                <w:rFonts w:ascii="Times New Roman" w:eastAsia="Times New Roman" w:hAnsi="Times New Roman" w:cs="Times New Roman"/>
                <w:sz w:val="24"/>
                <w:szCs w:val="24"/>
                <w:lang w:eastAsia="lv-LV"/>
              </w:rPr>
              <w:t xml:space="preserve"> </w:t>
            </w:r>
            <w:r w:rsidRPr="009F378E">
              <w:rPr>
                <w:rFonts w:ascii="Times New Roman" w:eastAsia="Times New Roman" w:hAnsi="Times New Roman" w:cs="Times New Roman"/>
                <w:sz w:val="24"/>
                <w:szCs w:val="24"/>
                <w:lang w:eastAsia="lv-LV"/>
              </w:rPr>
              <w:t>novērtēšanai;</w:t>
            </w:r>
          </w:p>
          <w:p w14:paraId="7E01CB92" w14:textId="2972BEB6" w:rsidR="00DC09F3" w:rsidRPr="009F378E" w:rsidRDefault="00DC09F3" w:rsidP="004553B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w:t>
            </w:r>
            <w:r w:rsidR="00F548B4">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Pr="00DC09F3">
              <w:rPr>
                <w:rFonts w:ascii="Times New Roman" w:eastAsia="Times New Roman" w:hAnsi="Times New Roman" w:cs="Times New Roman"/>
                <w:sz w:val="24"/>
                <w:szCs w:val="24"/>
                <w:lang w:eastAsia="lv-LV"/>
              </w:rPr>
              <w:t>pārvaldības sistēmai, lai nodrošinātu atbilstību šo noteikumu prasībām</w:t>
            </w:r>
            <w:r>
              <w:rPr>
                <w:rFonts w:ascii="Times New Roman" w:eastAsia="Times New Roman" w:hAnsi="Times New Roman" w:cs="Times New Roman"/>
                <w:sz w:val="24"/>
                <w:szCs w:val="24"/>
                <w:lang w:eastAsia="lv-LV"/>
              </w:rPr>
              <w:t>;</w:t>
            </w:r>
          </w:p>
          <w:p w14:paraId="455B0CC0" w14:textId="10B9CAB0" w:rsidR="004553B1" w:rsidRDefault="00DC09F3" w:rsidP="00631134">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w:t>
            </w:r>
            <w:r w:rsidR="00F548B4">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004553B1" w:rsidRPr="009F378E">
              <w:rPr>
                <w:rFonts w:ascii="Times New Roman" w:eastAsia="Times New Roman" w:hAnsi="Times New Roman" w:cs="Times New Roman"/>
                <w:sz w:val="24"/>
                <w:szCs w:val="24"/>
                <w:lang w:eastAsia="lv-LV"/>
              </w:rPr>
              <w:t>informācijas sniegšanai Latvijas Bankai par minēto darbinieku zināšanām un kompetenci.</w:t>
            </w:r>
          </w:p>
          <w:p w14:paraId="68EB27AD" w14:textId="305BA625" w:rsidR="000A006C" w:rsidRDefault="000E3E4E" w:rsidP="00631134">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 satur identiskas tiesību normas kā Noteikumi Nr. 105, kuri zaudēs spēku ar š</w:t>
            </w:r>
            <w:r w:rsidR="00384F3C">
              <w:rPr>
                <w:rFonts w:ascii="Times New Roman" w:eastAsia="Times New Roman" w:hAnsi="Times New Roman" w:cs="Times New Roman"/>
                <w:sz w:val="24"/>
                <w:szCs w:val="24"/>
                <w:lang w:eastAsia="lv-LV"/>
              </w:rPr>
              <w:t>ā</w:t>
            </w:r>
            <w:r>
              <w:rPr>
                <w:rFonts w:ascii="Times New Roman" w:eastAsia="Times New Roman" w:hAnsi="Times New Roman" w:cs="Times New Roman"/>
                <w:sz w:val="24"/>
                <w:szCs w:val="24"/>
                <w:lang w:eastAsia="lv-LV"/>
              </w:rPr>
              <w:t xml:space="preserve"> noteikumu projekta spēkā stāšanās brīdi, izņemot normu tehnisko noformējumu, nomainot atsauci uz </w:t>
            </w:r>
            <w:r w:rsidR="00384F3C">
              <w:rPr>
                <w:rFonts w:ascii="Times New Roman" w:eastAsia="Times New Roman" w:hAnsi="Times New Roman" w:cs="Times New Roman"/>
                <w:sz w:val="24"/>
                <w:szCs w:val="24"/>
                <w:lang w:eastAsia="lv-LV"/>
              </w:rPr>
              <w:t>P</w:t>
            </w:r>
            <w:r>
              <w:rPr>
                <w:rFonts w:ascii="Times New Roman" w:eastAsia="Times New Roman" w:hAnsi="Times New Roman" w:cs="Times New Roman"/>
                <w:sz w:val="24"/>
                <w:szCs w:val="24"/>
                <w:lang w:eastAsia="lv-LV"/>
              </w:rPr>
              <w:t>amatnostādņu prasību tieš</w:t>
            </w:r>
            <w:r w:rsidR="00FF4BEB">
              <w:rPr>
                <w:rFonts w:ascii="Times New Roman" w:eastAsia="Times New Roman" w:hAnsi="Times New Roman" w:cs="Times New Roman"/>
                <w:sz w:val="24"/>
                <w:szCs w:val="24"/>
                <w:lang w:eastAsia="lv-LV"/>
              </w:rPr>
              <w:t>u</w:t>
            </w:r>
            <w:r>
              <w:rPr>
                <w:rFonts w:ascii="Times New Roman" w:eastAsia="Times New Roman" w:hAnsi="Times New Roman" w:cs="Times New Roman"/>
                <w:sz w:val="24"/>
                <w:szCs w:val="24"/>
                <w:lang w:eastAsia="lv-LV"/>
              </w:rPr>
              <w:t xml:space="preserve"> ievērošanu ar </w:t>
            </w:r>
            <w:r w:rsidR="00384F3C">
              <w:rPr>
                <w:rFonts w:ascii="Times New Roman" w:eastAsia="Times New Roman" w:hAnsi="Times New Roman" w:cs="Times New Roman"/>
                <w:sz w:val="24"/>
                <w:szCs w:val="24"/>
                <w:lang w:eastAsia="lv-LV"/>
              </w:rPr>
              <w:t>P</w:t>
            </w:r>
            <w:r w:rsidR="007934D3">
              <w:rPr>
                <w:rFonts w:ascii="Times New Roman" w:eastAsia="Times New Roman" w:hAnsi="Times New Roman" w:cs="Times New Roman"/>
                <w:sz w:val="24"/>
                <w:szCs w:val="24"/>
                <w:lang w:eastAsia="lv-LV"/>
              </w:rPr>
              <w:t>amatnostādņu tiesību normu ieviešanu.</w:t>
            </w:r>
          </w:p>
          <w:p w14:paraId="6699ABEC" w14:textId="24BA18C4" w:rsidR="00D96AFF" w:rsidRPr="000A006C" w:rsidRDefault="00D96AFF" w:rsidP="00631134">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Tirgus dalībnieki </w:t>
            </w:r>
            <w:r w:rsidRPr="00D96AFF">
              <w:rPr>
                <w:rFonts w:ascii="Times New Roman" w:eastAsia="Times New Roman" w:hAnsi="Times New Roman" w:cs="Times New Roman"/>
                <w:sz w:val="24"/>
                <w:szCs w:val="24"/>
                <w:lang w:eastAsia="lv-LV"/>
              </w:rPr>
              <w:t>noteikumu</w:t>
            </w:r>
            <w:r>
              <w:rPr>
                <w:rFonts w:ascii="Times New Roman" w:eastAsia="Times New Roman" w:hAnsi="Times New Roman" w:cs="Times New Roman"/>
                <w:sz w:val="24"/>
                <w:szCs w:val="24"/>
                <w:lang w:eastAsia="lv-LV"/>
              </w:rPr>
              <w:t xml:space="preserve"> projekta</w:t>
            </w:r>
            <w:r w:rsidRPr="00D96AFF">
              <w:rPr>
                <w:rFonts w:ascii="Times New Roman" w:eastAsia="Times New Roman" w:hAnsi="Times New Roman" w:cs="Times New Roman"/>
                <w:sz w:val="24"/>
                <w:szCs w:val="24"/>
                <w:lang w:eastAsia="lv-LV"/>
              </w:rPr>
              <w:t xml:space="preserve"> prasību piemērošanā var izmantot </w:t>
            </w:r>
            <w:r w:rsidR="00513C75">
              <w:rPr>
                <w:rFonts w:ascii="Times New Roman" w:eastAsia="Times New Roman" w:hAnsi="Times New Roman" w:cs="Times New Roman"/>
                <w:sz w:val="24"/>
                <w:szCs w:val="24"/>
                <w:lang w:eastAsia="lv-LV"/>
              </w:rPr>
              <w:t xml:space="preserve">arī </w:t>
            </w:r>
            <w:r w:rsidR="00DC09F3">
              <w:rPr>
                <w:rFonts w:ascii="Times New Roman" w:eastAsia="Times New Roman" w:hAnsi="Times New Roman" w:cs="Times New Roman"/>
                <w:sz w:val="24"/>
                <w:szCs w:val="24"/>
                <w:lang w:eastAsia="lv-LV"/>
              </w:rPr>
              <w:t>Pamatnostādņu</w:t>
            </w:r>
            <w:r w:rsidRPr="00D96AFF">
              <w:rPr>
                <w:rFonts w:ascii="Times New Roman" w:eastAsia="Times New Roman" w:hAnsi="Times New Roman" w:cs="Times New Roman"/>
                <w:sz w:val="24"/>
                <w:szCs w:val="24"/>
                <w:lang w:eastAsia="lv-LV"/>
              </w:rPr>
              <w:t xml:space="preserve"> 1.</w:t>
            </w:r>
            <w:r w:rsidR="00DC09F3">
              <w:rPr>
                <w:rFonts w:ascii="Times New Roman" w:eastAsia="Times New Roman" w:hAnsi="Times New Roman" w:cs="Times New Roman"/>
                <w:sz w:val="24"/>
                <w:szCs w:val="24"/>
                <w:lang w:eastAsia="lv-LV"/>
              </w:rPr>
              <w:t> </w:t>
            </w:r>
            <w:r w:rsidRPr="00D96AFF">
              <w:rPr>
                <w:rFonts w:ascii="Times New Roman" w:eastAsia="Times New Roman" w:hAnsi="Times New Roman" w:cs="Times New Roman"/>
                <w:sz w:val="24"/>
                <w:szCs w:val="24"/>
                <w:lang w:eastAsia="lv-LV"/>
              </w:rPr>
              <w:t>pielikumā minētos piemērus</w:t>
            </w:r>
            <w:r>
              <w:rPr>
                <w:rFonts w:ascii="Times New Roman" w:eastAsia="Times New Roman" w:hAnsi="Times New Roman" w:cs="Times New Roman"/>
                <w:sz w:val="24"/>
                <w:szCs w:val="24"/>
                <w:lang w:eastAsia="lv-LV"/>
              </w:rPr>
              <w:t>.</w:t>
            </w:r>
          </w:p>
        </w:tc>
      </w:tr>
      <w:tr w:rsidR="000B4E0A" w:rsidRPr="000B4E0A" w14:paraId="7DABD4D4" w14:textId="77777777" w:rsidTr="00276A62">
        <w:trPr>
          <w:trHeight w:val="567"/>
        </w:trPr>
        <w:tc>
          <w:tcPr>
            <w:tcW w:w="1537" w:type="pct"/>
            <w:shd w:val="clear" w:color="auto" w:fill="auto"/>
            <w:hideMark/>
          </w:tcPr>
          <w:p w14:paraId="3B3B5120"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6DA41443"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463" w:type="pct"/>
            <w:shd w:val="clear" w:color="auto" w:fill="auto"/>
          </w:tcPr>
          <w:p w14:paraId="569F44CD" w14:textId="58ADAB33" w:rsidR="007934D3" w:rsidRPr="007934D3" w:rsidRDefault="007934D3" w:rsidP="00237E29">
            <w:pPr>
              <w:spacing w:after="120" w:line="240" w:lineRule="auto"/>
              <w:jc w:val="both"/>
              <w:rPr>
                <w:rFonts w:ascii="Times New Roman" w:eastAsia="Times New Roman" w:hAnsi="Times New Roman" w:cs="Times New Roman"/>
                <w:sz w:val="24"/>
                <w:szCs w:val="24"/>
                <w:lang w:eastAsia="lv-LV"/>
              </w:rPr>
            </w:pPr>
            <w:r w:rsidRPr="007934D3">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371F5107" w14:textId="5AB3DFA2" w:rsidR="007934D3" w:rsidRPr="007934D3" w:rsidRDefault="007934D3" w:rsidP="00237E29">
            <w:pPr>
              <w:spacing w:after="120" w:line="240" w:lineRule="auto"/>
              <w:jc w:val="both"/>
              <w:rPr>
                <w:rFonts w:ascii="Times New Roman" w:eastAsia="Times New Roman" w:hAnsi="Times New Roman" w:cs="Times New Roman"/>
                <w:sz w:val="24"/>
                <w:szCs w:val="24"/>
                <w:lang w:eastAsia="lv-LV"/>
              </w:rPr>
            </w:pPr>
            <w:r w:rsidRPr="007934D3">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Latvijas Bankai kā konkrēto tirgus dalībnieku uzraugam, kas nodrošina konkrēto tirgus dalībnieku tiesisku un sabiedrības interesēm atbilstošu darbību.</w:t>
            </w:r>
          </w:p>
          <w:p w14:paraId="47744A3E" w14:textId="77777777" w:rsidR="007934D3" w:rsidRPr="007934D3" w:rsidRDefault="007934D3" w:rsidP="00237E29">
            <w:pPr>
              <w:spacing w:after="120" w:line="240" w:lineRule="auto"/>
              <w:jc w:val="both"/>
              <w:rPr>
                <w:rFonts w:ascii="Times New Roman" w:eastAsia="Times New Roman" w:hAnsi="Times New Roman" w:cs="Times New Roman"/>
                <w:sz w:val="24"/>
                <w:szCs w:val="24"/>
                <w:lang w:eastAsia="lv-LV"/>
              </w:rPr>
            </w:pPr>
            <w:r w:rsidRPr="007934D3">
              <w:rPr>
                <w:rFonts w:ascii="Times New Roman" w:eastAsia="Times New Roman" w:hAnsi="Times New Roman" w:cs="Times New Roman"/>
                <w:sz w:val="24"/>
                <w:szCs w:val="24"/>
                <w:lang w:eastAsia="lv-LV"/>
              </w:rPr>
              <w:t xml:space="preserve">Indivīdam kā finanšu tirgus sistēmas daļai ir būtiski apzināties un saņemt to aizsardzības līmeni, kuru tam nodrošina finanšu tirgus uzraugs jeb Latvijas Banka, un attiecīgi Latvijas Banka finanšu tirgus uzrauga lomā ir atbildīga par tādu pasākumu veikšanu, kas aizsargā indivīda pamattiesības. Respektīvi, indivīds ir tiesīgs paļauties uz finanšu sistēmas taisnīgu </w:t>
            </w:r>
            <w:r w:rsidRPr="007934D3">
              <w:rPr>
                <w:rFonts w:ascii="Times New Roman" w:eastAsia="Times New Roman" w:hAnsi="Times New Roman" w:cs="Times New Roman"/>
                <w:sz w:val="24"/>
                <w:szCs w:val="24"/>
                <w:lang w:eastAsia="lv-LV"/>
              </w:rPr>
              <w:lastRenderedPageBreak/>
              <w:t>uzraudzību, pretējā gadījumā indivīdam zūd uzticība finanšu sistēmai un motivācija būt šīs sistēmas dalībniekam.</w:t>
            </w:r>
          </w:p>
          <w:p w14:paraId="5350F80D" w14:textId="5E25E088" w:rsidR="007934D3" w:rsidRPr="007934D3" w:rsidRDefault="007934D3" w:rsidP="00237E29">
            <w:pPr>
              <w:spacing w:after="120" w:line="240" w:lineRule="auto"/>
              <w:jc w:val="both"/>
              <w:rPr>
                <w:rFonts w:ascii="Times New Roman" w:eastAsia="Times New Roman" w:hAnsi="Times New Roman" w:cs="Times New Roman"/>
                <w:sz w:val="24"/>
                <w:szCs w:val="24"/>
                <w:lang w:eastAsia="lv-LV"/>
              </w:rPr>
            </w:pPr>
            <w:r w:rsidRPr="007934D3">
              <w:rPr>
                <w:rFonts w:ascii="Times New Roman" w:eastAsia="Times New Roman" w:hAnsi="Times New Roman" w:cs="Times New Roman"/>
                <w:sz w:val="24"/>
                <w:szCs w:val="24"/>
                <w:lang w:eastAsia="lv-LV"/>
              </w:rPr>
              <w:t>Nosakot tirgus dalībniekiem prasības un veicot prasību ievērošanas pārbaudes, Latvijas Banka nodrošina tai Latvijas Bankas likumā noteikto pienākumu veicināt ieguldītāju interešu aizsardzību un finanšu tirgus ilgtspējīgu attīstību un stabilitāti izpildi.</w:t>
            </w:r>
          </w:p>
          <w:p w14:paraId="4AAA2DCC" w14:textId="4701A81E" w:rsidR="00E53DE9" w:rsidRPr="000A006C" w:rsidRDefault="007934D3" w:rsidP="00237E29">
            <w:pPr>
              <w:spacing w:after="120" w:line="240" w:lineRule="auto"/>
              <w:jc w:val="both"/>
              <w:rPr>
                <w:rFonts w:ascii="Times New Roman" w:eastAsia="Times New Roman" w:hAnsi="Times New Roman" w:cs="Times New Roman"/>
                <w:sz w:val="24"/>
                <w:szCs w:val="24"/>
                <w:lang w:eastAsia="lv-LV"/>
              </w:rPr>
            </w:pPr>
            <w:r w:rsidRPr="007934D3">
              <w:rPr>
                <w:rFonts w:ascii="Times New Roman" w:eastAsia="Times New Roman" w:hAnsi="Times New Roman" w:cs="Times New Roman"/>
                <w:sz w:val="24"/>
                <w:szCs w:val="24"/>
                <w:lang w:eastAsia="lv-LV"/>
              </w:rPr>
              <w:t>Noteikumu projekts nepieciešams, lai</w:t>
            </w:r>
            <w:r>
              <w:rPr>
                <w:rFonts w:ascii="Times New Roman" w:eastAsia="Times New Roman" w:hAnsi="Times New Roman" w:cs="Times New Roman"/>
                <w:sz w:val="24"/>
                <w:szCs w:val="24"/>
                <w:lang w:eastAsia="lv-LV"/>
              </w:rPr>
              <w:t>, izpildot Finanšu instrumentu tirgus likuma 128. panta ceturtajā daļā</w:t>
            </w:r>
            <w:r w:rsidR="00605E40">
              <w:rPr>
                <w:rFonts w:ascii="Times New Roman" w:eastAsia="Times New Roman" w:hAnsi="Times New Roman" w:cs="Times New Roman"/>
                <w:sz w:val="24"/>
                <w:szCs w:val="24"/>
                <w:lang w:eastAsia="lv-LV"/>
              </w:rPr>
              <w:t xml:space="preserve">, kā arī </w:t>
            </w:r>
            <w:r w:rsidR="00605E40" w:rsidRPr="00605E40">
              <w:rPr>
                <w:rFonts w:ascii="Times New Roman" w:eastAsia="Times New Roman" w:hAnsi="Times New Roman" w:cs="Times New Roman"/>
                <w:sz w:val="24"/>
                <w:szCs w:val="24"/>
                <w:lang w:eastAsia="lv-LV"/>
              </w:rPr>
              <w:t>Direktīva</w:t>
            </w:r>
            <w:r w:rsidR="00605E40">
              <w:rPr>
                <w:rFonts w:ascii="Times New Roman" w:eastAsia="Times New Roman" w:hAnsi="Times New Roman" w:cs="Times New Roman"/>
                <w:sz w:val="24"/>
                <w:szCs w:val="24"/>
                <w:lang w:eastAsia="lv-LV"/>
              </w:rPr>
              <w:t>s</w:t>
            </w:r>
            <w:r w:rsidR="00605E40" w:rsidRPr="00605E40">
              <w:rPr>
                <w:rFonts w:ascii="Times New Roman" w:eastAsia="Times New Roman" w:hAnsi="Times New Roman" w:cs="Times New Roman"/>
                <w:sz w:val="24"/>
                <w:szCs w:val="24"/>
                <w:lang w:eastAsia="lv-LV"/>
              </w:rPr>
              <w:t xml:space="preserve"> Nr.</w:t>
            </w:r>
            <w:r w:rsidR="00237E29">
              <w:rPr>
                <w:rFonts w:ascii="Times New Roman" w:eastAsia="Times New Roman" w:hAnsi="Times New Roman" w:cs="Times New Roman"/>
                <w:sz w:val="24"/>
                <w:szCs w:val="24"/>
                <w:lang w:eastAsia="lv-LV"/>
              </w:rPr>
              <w:t> </w:t>
            </w:r>
            <w:r w:rsidR="00605E40" w:rsidRPr="00605E40">
              <w:rPr>
                <w:rFonts w:ascii="Times New Roman" w:eastAsia="Times New Roman" w:hAnsi="Times New Roman" w:cs="Times New Roman"/>
                <w:sz w:val="24"/>
                <w:szCs w:val="24"/>
                <w:lang w:eastAsia="lv-LV"/>
              </w:rPr>
              <w:t>2014/65/ES</w:t>
            </w:r>
            <w:r w:rsidR="00605E40">
              <w:rPr>
                <w:rFonts w:ascii="Times New Roman" w:eastAsia="Times New Roman" w:hAnsi="Times New Roman" w:cs="Times New Roman"/>
                <w:sz w:val="24"/>
                <w:szCs w:val="24"/>
                <w:lang w:eastAsia="lv-LV"/>
              </w:rPr>
              <w:t xml:space="preserve"> </w:t>
            </w:r>
            <w:r w:rsidR="00605E40" w:rsidRPr="00605E40">
              <w:rPr>
                <w:rFonts w:ascii="Times New Roman" w:eastAsia="Times New Roman" w:hAnsi="Times New Roman" w:cs="Times New Roman"/>
                <w:sz w:val="24"/>
                <w:szCs w:val="24"/>
                <w:lang w:eastAsia="lv-LV"/>
              </w:rPr>
              <w:t>25</w:t>
            </w:r>
            <w:r w:rsidR="00605E40">
              <w:rPr>
                <w:rFonts w:ascii="Times New Roman" w:eastAsia="Times New Roman" w:hAnsi="Times New Roman" w:cs="Times New Roman"/>
                <w:sz w:val="24"/>
                <w:szCs w:val="24"/>
                <w:lang w:eastAsia="lv-LV"/>
              </w:rPr>
              <w:t>. </w:t>
            </w:r>
            <w:r w:rsidR="00605E40" w:rsidRPr="00605E40">
              <w:rPr>
                <w:rFonts w:ascii="Times New Roman" w:eastAsia="Times New Roman" w:hAnsi="Times New Roman" w:cs="Times New Roman"/>
                <w:sz w:val="24"/>
                <w:szCs w:val="24"/>
                <w:lang w:eastAsia="lv-LV"/>
              </w:rPr>
              <w:t>panta 1.</w:t>
            </w:r>
            <w:r w:rsidR="00605E40">
              <w:rPr>
                <w:rFonts w:ascii="Times New Roman" w:eastAsia="Times New Roman" w:hAnsi="Times New Roman" w:cs="Times New Roman"/>
                <w:sz w:val="24"/>
                <w:szCs w:val="24"/>
                <w:lang w:eastAsia="lv-LV"/>
              </w:rPr>
              <w:t> </w:t>
            </w:r>
            <w:r w:rsidR="00605E40" w:rsidRPr="00605E40">
              <w:rPr>
                <w:rFonts w:ascii="Times New Roman" w:eastAsia="Times New Roman" w:hAnsi="Times New Roman" w:cs="Times New Roman"/>
                <w:sz w:val="24"/>
                <w:szCs w:val="24"/>
                <w:lang w:eastAsia="lv-LV"/>
              </w:rPr>
              <w:t>punkt</w:t>
            </w:r>
            <w:r w:rsidR="00B759B4">
              <w:rPr>
                <w:rFonts w:ascii="Times New Roman" w:eastAsia="Times New Roman" w:hAnsi="Times New Roman" w:cs="Times New Roman"/>
                <w:sz w:val="24"/>
                <w:szCs w:val="24"/>
                <w:lang w:eastAsia="lv-LV"/>
              </w:rPr>
              <w:t>a pēdējā teikum</w:t>
            </w:r>
            <w:r w:rsidR="00605E40">
              <w:rPr>
                <w:rFonts w:ascii="Times New Roman" w:eastAsia="Times New Roman" w:hAnsi="Times New Roman" w:cs="Times New Roman"/>
                <w:sz w:val="24"/>
                <w:szCs w:val="24"/>
                <w:lang w:eastAsia="lv-LV"/>
              </w:rPr>
              <w:t>ā</w:t>
            </w:r>
            <w:r>
              <w:rPr>
                <w:rFonts w:ascii="Times New Roman" w:eastAsia="Times New Roman" w:hAnsi="Times New Roman" w:cs="Times New Roman"/>
                <w:sz w:val="24"/>
                <w:szCs w:val="24"/>
                <w:lang w:eastAsia="lv-LV"/>
              </w:rPr>
              <w:t xml:space="preserve"> minēto pienākumu, </w:t>
            </w:r>
            <w:r w:rsidRPr="007934D3">
              <w:rPr>
                <w:rFonts w:ascii="Times New Roman" w:eastAsia="Times New Roman" w:hAnsi="Times New Roman" w:cs="Times New Roman"/>
                <w:sz w:val="24"/>
                <w:szCs w:val="24"/>
                <w:lang w:eastAsia="lv-LV"/>
              </w:rPr>
              <w:t xml:space="preserve">veicinātu vienotu tirgus dalībnieku izpratni </w:t>
            </w:r>
            <w:r>
              <w:rPr>
                <w:rFonts w:ascii="Times New Roman" w:eastAsia="Times New Roman" w:hAnsi="Times New Roman" w:cs="Times New Roman"/>
                <w:sz w:val="24"/>
                <w:szCs w:val="24"/>
                <w:lang w:eastAsia="lv-LV"/>
              </w:rPr>
              <w:t>par</w:t>
            </w:r>
            <w:r w:rsidRPr="007934D3">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prasībām attiecībā uz tirgus dalībnieka darbiniek</w:t>
            </w:r>
            <w:r w:rsidR="00FF4BEB">
              <w:rPr>
                <w:rFonts w:ascii="Times New Roman" w:eastAsia="Times New Roman" w:hAnsi="Times New Roman" w:cs="Times New Roman"/>
                <w:sz w:val="24"/>
                <w:szCs w:val="24"/>
                <w:lang w:eastAsia="lv-LV"/>
              </w:rPr>
              <w:t>iem</w:t>
            </w:r>
            <w:r w:rsidR="00605E4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nepieciešamajām zināšanām un kompetenci, </w:t>
            </w:r>
            <w:r w:rsidR="00283DA0" w:rsidRPr="007934D3">
              <w:rPr>
                <w:rFonts w:ascii="Times New Roman" w:eastAsia="Times New Roman" w:hAnsi="Times New Roman" w:cs="Times New Roman"/>
                <w:sz w:val="24"/>
                <w:szCs w:val="24"/>
                <w:lang w:eastAsia="lv-LV"/>
              </w:rPr>
              <w:t>tirgus dalībnieka vārdā snie</w:t>
            </w:r>
            <w:r w:rsidR="00283DA0">
              <w:rPr>
                <w:rFonts w:ascii="Times New Roman" w:eastAsia="Times New Roman" w:hAnsi="Times New Roman" w:cs="Times New Roman"/>
                <w:sz w:val="24"/>
                <w:szCs w:val="24"/>
                <w:lang w:eastAsia="lv-LV"/>
              </w:rPr>
              <w:t>dzot</w:t>
            </w:r>
            <w:r w:rsidR="00283DA0" w:rsidRPr="007934D3">
              <w:rPr>
                <w:rFonts w:ascii="Times New Roman" w:eastAsia="Times New Roman" w:hAnsi="Times New Roman" w:cs="Times New Roman"/>
                <w:sz w:val="24"/>
                <w:szCs w:val="24"/>
                <w:lang w:eastAsia="lv-LV"/>
              </w:rPr>
              <w:t xml:space="preserve"> klientiem ieguldījumu konsultācijas vai informāciju par finanšu instrumentiem, strukturētiem noguldījumiem, ieguldījumu pakalpojumiem vai ieguldījumu blakuspakalpojumiem</w:t>
            </w:r>
            <w:r w:rsidR="00283DA0">
              <w:rPr>
                <w:rFonts w:ascii="Times New Roman" w:eastAsia="Times New Roman" w:hAnsi="Times New Roman" w:cs="Times New Roman"/>
                <w:sz w:val="24"/>
                <w:szCs w:val="24"/>
                <w:lang w:eastAsia="lv-LV"/>
              </w:rPr>
              <w:t>.</w:t>
            </w:r>
          </w:p>
        </w:tc>
      </w:tr>
      <w:tr w:rsidR="000B4E0A" w:rsidRPr="000B4E0A" w14:paraId="0F6D0C19" w14:textId="77777777" w:rsidTr="00276A62">
        <w:trPr>
          <w:trHeight w:val="567"/>
        </w:trPr>
        <w:tc>
          <w:tcPr>
            <w:tcW w:w="1537" w:type="pct"/>
            <w:shd w:val="clear" w:color="auto" w:fill="auto"/>
            <w:hideMark/>
          </w:tcPr>
          <w:p w14:paraId="4410D488"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p w14:paraId="54B647A3"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463" w:type="pct"/>
            <w:shd w:val="clear" w:color="auto" w:fill="auto"/>
          </w:tcPr>
          <w:p w14:paraId="4B5DC535" w14:textId="139911C2" w:rsidR="00283DA0" w:rsidRDefault="00283DA0" w:rsidP="00237E29">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Nosakot vienotas prasības darbinieku</w:t>
            </w:r>
            <w:r w:rsidR="00605E4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zināšanām un kompetencei, tiek nodrošināta vienota tirgus dalībnieku izpratne un pieeja regulējošo prasību interpretācijai un piemērošanai.</w:t>
            </w:r>
          </w:p>
          <w:p w14:paraId="0B3D7630" w14:textId="03B1F47B" w:rsidR="00283DA0" w:rsidRDefault="00283DA0" w:rsidP="00237E29">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Tas, ka </w:t>
            </w:r>
            <w:r w:rsidR="00596C45">
              <w:rPr>
                <w:rFonts w:ascii="Times New Roman" w:eastAsia="Times New Roman" w:hAnsi="Times New Roman" w:cs="Times New Roman"/>
                <w:sz w:val="24"/>
                <w:szCs w:val="24"/>
                <w:lang w:eastAsia="lv-LV"/>
              </w:rPr>
              <w:t xml:space="preserve">ieguldījumu konsultācijas vai </w:t>
            </w:r>
            <w:r w:rsidR="00596C45" w:rsidRPr="00596C45">
              <w:rPr>
                <w:rFonts w:ascii="Times New Roman" w:eastAsia="Times New Roman" w:hAnsi="Times New Roman" w:cs="Times New Roman"/>
                <w:sz w:val="24"/>
                <w:szCs w:val="24"/>
                <w:lang w:eastAsia="lv-LV"/>
              </w:rPr>
              <w:t>informāciju par finanšu instrumentiem, strukturētiem noguldījumiem, ieguldījumu pakalpojumiem vai ieguldījumu blakuspakalpojumiem</w:t>
            </w:r>
            <w:r w:rsidR="00596C45">
              <w:rPr>
                <w:rFonts w:ascii="Times New Roman" w:eastAsia="Times New Roman" w:hAnsi="Times New Roman" w:cs="Times New Roman"/>
                <w:sz w:val="24"/>
                <w:szCs w:val="24"/>
                <w:lang w:eastAsia="lv-LV"/>
              </w:rPr>
              <w:t xml:space="preserve"> sniedz tirgus dalībnieka darbinieks</w:t>
            </w:r>
            <w:r w:rsidR="00605E40">
              <w:rPr>
                <w:rFonts w:ascii="Times New Roman" w:eastAsia="Times New Roman" w:hAnsi="Times New Roman" w:cs="Times New Roman"/>
                <w:sz w:val="24"/>
                <w:szCs w:val="24"/>
                <w:lang w:eastAsia="lv-LV"/>
              </w:rPr>
              <w:t xml:space="preserve"> </w:t>
            </w:r>
            <w:r w:rsidR="00596C45">
              <w:rPr>
                <w:rFonts w:ascii="Times New Roman" w:eastAsia="Times New Roman" w:hAnsi="Times New Roman" w:cs="Times New Roman"/>
                <w:sz w:val="24"/>
                <w:szCs w:val="24"/>
                <w:lang w:eastAsia="lv-LV"/>
              </w:rPr>
              <w:t>ar neatbilstoš</w:t>
            </w:r>
            <w:r w:rsidR="003A2608">
              <w:rPr>
                <w:rFonts w:ascii="Times New Roman" w:eastAsia="Times New Roman" w:hAnsi="Times New Roman" w:cs="Times New Roman"/>
                <w:sz w:val="24"/>
                <w:szCs w:val="24"/>
                <w:lang w:eastAsia="lv-LV"/>
              </w:rPr>
              <w:t>u</w:t>
            </w:r>
            <w:r w:rsidR="00596C45">
              <w:rPr>
                <w:rFonts w:ascii="Times New Roman" w:eastAsia="Times New Roman" w:hAnsi="Times New Roman" w:cs="Times New Roman"/>
                <w:sz w:val="24"/>
                <w:szCs w:val="24"/>
                <w:lang w:eastAsia="lv-LV"/>
              </w:rPr>
              <w:t xml:space="preserve"> kvalifikāciju un pieredzi, v</w:t>
            </w:r>
            <w:r>
              <w:rPr>
                <w:rFonts w:ascii="Times New Roman" w:eastAsia="Times New Roman" w:hAnsi="Times New Roman" w:cs="Times New Roman"/>
                <w:sz w:val="24"/>
                <w:szCs w:val="24"/>
                <w:lang w:eastAsia="lv-LV"/>
              </w:rPr>
              <w:t>ar negatīvi ietekmēt ieguldītāju intereses un aizsardzību.</w:t>
            </w:r>
            <w:r w:rsidR="00596C45">
              <w:t xml:space="preserve"> </w:t>
            </w:r>
            <w:r w:rsidR="00596C45" w:rsidRPr="00596C45">
              <w:rPr>
                <w:rFonts w:ascii="Times New Roman" w:eastAsia="Times New Roman" w:hAnsi="Times New Roman" w:cs="Times New Roman"/>
                <w:sz w:val="24"/>
                <w:szCs w:val="24"/>
                <w:lang w:eastAsia="lv-LV"/>
              </w:rPr>
              <w:t>Lai nodrošinātu ieguldītāju interešu aizsardzību un finanšu tirgus stabilitāti, ir būtiski pēc iespējas mazināt un novērst minēto risku.</w:t>
            </w:r>
          </w:p>
          <w:p w14:paraId="1F142700" w14:textId="67A1622E" w:rsidR="00596C45" w:rsidRDefault="00596C45" w:rsidP="00237E29">
            <w:pPr>
              <w:spacing w:after="120" w:line="240" w:lineRule="auto"/>
              <w:jc w:val="both"/>
              <w:rPr>
                <w:rFonts w:ascii="Times New Roman" w:eastAsia="Times New Roman" w:hAnsi="Times New Roman" w:cs="Times New Roman"/>
                <w:sz w:val="24"/>
                <w:szCs w:val="24"/>
                <w:lang w:eastAsia="lv-LV"/>
              </w:rPr>
            </w:pPr>
            <w:r w:rsidRPr="00596C45">
              <w:rPr>
                <w:rFonts w:ascii="Times New Roman" w:eastAsia="Times New Roman" w:hAnsi="Times New Roman" w:cs="Times New Roman"/>
                <w:sz w:val="24"/>
                <w:szCs w:val="24"/>
                <w:lang w:eastAsia="lv-LV"/>
              </w:rPr>
              <w:t>Līdz ar to atbilstošākais veids, kā noteikt tirgus dalībniekiem vienotas prasības</w:t>
            </w:r>
            <w:r w:rsidR="00062034">
              <w:rPr>
                <w:rFonts w:ascii="Times New Roman" w:eastAsia="Times New Roman" w:hAnsi="Times New Roman" w:cs="Times New Roman"/>
                <w:sz w:val="24"/>
                <w:szCs w:val="24"/>
                <w:lang w:eastAsia="lv-LV"/>
              </w:rPr>
              <w:t xml:space="preserve"> to</w:t>
            </w:r>
            <w:r w:rsidRPr="00596C45">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darbinieku</w:t>
            </w:r>
            <w:r w:rsidR="00605E4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zināšanām un kompetencei, </w:t>
            </w:r>
            <w:r w:rsidRPr="00596C45">
              <w:rPr>
                <w:rFonts w:ascii="Times New Roman" w:eastAsia="Times New Roman" w:hAnsi="Times New Roman" w:cs="Times New Roman"/>
                <w:sz w:val="24"/>
                <w:szCs w:val="24"/>
                <w:lang w:eastAsia="lv-LV"/>
              </w:rPr>
              <w:t>ir izdot tirgus dalībniekiem saistošus noteikumus. Citas alternatīvas jautājuma noregulēšanai un vienotu prasību noteikšanai nebūtu efektīvas un nesasniegtu izvirzīto mērķi, jo nenodrošinātu vienveidīgu piemērošanu</w:t>
            </w:r>
            <w:r>
              <w:rPr>
                <w:rFonts w:ascii="Times New Roman" w:eastAsia="Times New Roman" w:hAnsi="Times New Roman" w:cs="Times New Roman"/>
                <w:sz w:val="24"/>
                <w:szCs w:val="24"/>
                <w:lang w:eastAsia="lv-LV"/>
              </w:rPr>
              <w:t xml:space="preserve"> </w:t>
            </w:r>
            <w:r w:rsidRPr="00596C45">
              <w:rPr>
                <w:rFonts w:ascii="Times New Roman" w:eastAsia="Times New Roman" w:hAnsi="Times New Roman" w:cs="Times New Roman"/>
                <w:sz w:val="24"/>
                <w:szCs w:val="24"/>
                <w:lang w:eastAsia="lv-LV"/>
              </w:rPr>
              <w:t>un Finanšu instrumentu tirgus likumā dotā pilnvarojuma izpildi</w:t>
            </w:r>
            <w:r>
              <w:rPr>
                <w:rFonts w:ascii="Times New Roman" w:eastAsia="Times New Roman" w:hAnsi="Times New Roman" w:cs="Times New Roman"/>
                <w:sz w:val="24"/>
                <w:szCs w:val="24"/>
                <w:lang w:eastAsia="lv-LV"/>
              </w:rPr>
              <w:t>.</w:t>
            </w:r>
          </w:p>
          <w:p w14:paraId="5A023C3D" w14:textId="5CFCB4B3" w:rsidR="00596C45" w:rsidRDefault="00596C45" w:rsidP="00237E29">
            <w:pPr>
              <w:spacing w:after="120" w:line="240" w:lineRule="auto"/>
              <w:jc w:val="both"/>
              <w:rPr>
                <w:rFonts w:ascii="Times New Roman" w:eastAsia="Times New Roman" w:hAnsi="Times New Roman" w:cs="Times New Roman"/>
                <w:sz w:val="24"/>
                <w:szCs w:val="24"/>
                <w:lang w:eastAsia="lv-LV"/>
              </w:rPr>
            </w:pPr>
            <w:r w:rsidRPr="00596C45">
              <w:rPr>
                <w:rFonts w:ascii="Times New Roman" w:eastAsia="Times New Roman" w:hAnsi="Times New Roman" w:cs="Times New Roman"/>
                <w:sz w:val="24"/>
                <w:szCs w:val="24"/>
                <w:lang w:eastAsia="lv-LV"/>
              </w:rPr>
              <w:t xml:space="preserve">Izraugoties piemērotāko līdzekli leģitīmā mērķa sasniegšanai, Latvijas Banka izvērtēja, ka nebūtu atbilstoši izdot, piemēram, zemāka ranga normatīvos aktus, kuri nebūtu tirgus dalībniekam juridiski saistoši. Vienlaikus ar noteikumu projektu tiek noteiktas prasības, kuras Latvijas Banka uzraudzības ietvaros var konkrēti kontrolēt un nepieciešamības gadījumā par konkrētu prasību pārkāpumu piemērot </w:t>
            </w:r>
            <w:r w:rsidR="00FF4BEB" w:rsidRPr="00596C45">
              <w:rPr>
                <w:rFonts w:ascii="Times New Roman" w:eastAsia="Times New Roman" w:hAnsi="Times New Roman" w:cs="Times New Roman"/>
                <w:sz w:val="24"/>
                <w:szCs w:val="24"/>
                <w:lang w:eastAsia="lv-LV"/>
              </w:rPr>
              <w:t xml:space="preserve">tirgus dalībniekam </w:t>
            </w:r>
            <w:r w:rsidRPr="00596C45">
              <w:rPr>
                <w:rFonts w:ascii="Times New Roman" w:eastAsia="Times New Roman" w:hAnsi="Times New Roman" w:cs="Times New Roman"/>
                <w:sz w:val="24"/>
                <w:szCs w:val="24"/>
                <w:lang w:eastAsia="lv-LV"/>
              </w:rPr>
              <w:t>korektīvos pasākumus vai sankcijas.</w:t>
            </w:r>
          </w:p>
          <w:p w14:paraId="08F9D22F" w14:textId="21780056" w:rsidR="00596C45" w:rsidRPr="00E7052B" w:rsidRDefault="00596C45" w:rsidP="00237E29">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Ņemot vērā iepriekš minētos apstākļus, sabiedrības ieguvums būs lielāks par papildu slogu un resursu ieguldījum</w:t>
            </w:r>
            <w:r>
              <w:rPr>
                <w:rFonts w:ascii="Times New Roman" w:eastAsia="Times New Roman" w:hAnsi="Times New Roman" w:cs="Times New Roman"/>
                <w:sz w:val="24"/>
                <w:szCs w:val="24"/>
                <w:lang w:eastAsia="lv-LV"/>
              </w:rPr>
              <w:t>u</w:t>
            </w:r>
            <w:r w:rsidRPr="00E7052B">
              <w:rPr>
                <w:rFonts w:ascii="Times New Roman" w:eastAsia="Times New Roman" w:hAnsi="Times New Roman" w:cs="Times New Roman"/>
                <w:sz w:val="24"/>
                <w:szCs w:val="24"/>
                <w:lang w:eastAsia="lv-LV"/>
              </w:rPr>
              <w:t>, kas konkrētajam tirgus dalībniekam varētu rasties ar uzliktajiem pienākumiem, un tos atsver sagaidāmie ilgtermiņa ieguvumi stabilāka finanšu sektora veidā.</w:t>
            </w:r>
          </w:p>
          <w:p w14:paraId="6FE71712" w14:textId="300046CE" w:rsidR="00E53DE9" w:rsidRPr="000A006C" w:rsidRDefault="00596C45" w:rsidP="00237E29">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lastRenderedPageBreak/>
              <w:t>Respektīvi, normatīvais akts kopumā un tajā ietvertās tiesību normas atbilst samērīguma principam, jo, pirmkārt, ar noteikumu projekta ieviešanu tiek sasniegts leģitīmais mērķis (citu personu tiesību un sabiedrības labklājības aizsardzība). Otrkārt, nepastāv tādi alternatīvi līdzekļi, kas sasniegtu leģitīmo mērķi tādā pašā kvalitātē.</w:t>
            </w:r>
            <w:r>
              <w:rPr>
                <w:rFonts w:ascii="Times New Roman" w:eastAsia="Times New Roman" w:hAnsi="Times New Roman" w:cs="Times New Roman"/>
                <w:sz w:val="24"/>
                <w:szCs w:val="24"/>
                <w:lang w:eastAsia="lv-LV"/>
              </w:rPr>
              <w:t xml:space="preserve"> Treškārt, sabiedrības labums no normatīvā akta prasību piemērošanas ir lielāks par papildu slogu un resursu ieguldījumu, kas </w:t>
            </w:r>
            <w:r w:rsidRPr="00E7052B">
              <w:rPr>
                <w:rFonts w:ascii="Times New Roman" w:eastAsia="Times New Roman" w:hAnsi="Times New Roman" w:cs="Times New Roman"/>
                <w:sz w:val="24"/>
                <w:szCs w:val="24"/>
                <w:lang w:eastAsia="lv-LV"/>
              </w:rPr>
              <w:t>konkrētajam tirgus dalībniekam varētu rasties ar uzliktajiem pienākumiem</w:t>
            </w:r>
            <w:r>
              <w:rPr>
                <w:rFonts w:ascii="Times New Roman" w:eastAsia="Times New Roman" w:hAnsi="Times New Roman" w:cs="Times New Roman"/>
                <w:sz w:val="24"/>
                <w:szCs w:val="24"/>
                <w:lang w:eastAsia="lv-LV"/>
              </w:rPr>
              <w:t>.</w:t>
            </w:r>
          </w:p>
        </w:tc>
      </w:tr>
      <w:tr w:rsidR="000B4E0A" w:rsidRPr="000B4E0A" w14:paraId="711DC6F9" w14:textId="77777777" w:rsidTr="00276A62">
        <w:trPr>
          <w:trHeight w:val="567"/>
        </w:trPr>
        <w:tc>
          <w:tcPr>
            <w:tcW w:w="1537" w:type="pct"/>
            <w:shd w:val="clear" w:color="auto" w:fill="auto"/>
            <w:hideMark/>
          </w:tcPr>
          <w:p w14:paraId="6575C69D"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7251635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463" w:type="pct"/>
            <w:shd w:val="clear" w:color="auto" w:fill="auto"/>
          </w:tcPr>
          <w:p w14:paraId="375C75BE" w14:textId="15A90A81" w:rsidR="00CA28AB" w:rsidRPr="000A006C" w:rsidRDefault="00596C45" w:rsidP="00631134">
            <w:pPr>
              <w:spacing w:after="120" w:line="240" w:lineRule="auto"/>
              <w:jc w:val="both"/>
              <w:rPr>
                <w:rFonts w:ascii="Times New Roman" w:eastAsia="Times New Roman" w:hAnsi="Times New Roman" w:cs="Times New Roman"/>
                <w:sz w:val="24"/>
                <w:szCs w:val="24"/>
                <w:lang w:eastAsia="lv-LV"/>
              </w:rPr>
            </w:pPr>
            <w:r w:rsidRPr="00596C45">
              <w:rPr>
                <w:rFonts w:ascii="Times New Roman" w:eastAsia="Times New Roman" w:hAnsi="Times New Roman" w:cs="Times New Roman"/>
                <w:sz w:val="24"/>
                <w:szCs w:val="24"/>
                <w:lang w:eastAsia="lv-LV"/>
              </w:rPr>
              <w:t>Noteikumi stājas spēkā nākamajā dienā pēc to publicēšanas oficiālajā izdevumā "Latvijas Vēstnesis" atbilstoši Latvijas Bankas likuma 8.</w:t>
            </w:r>
            <w:r w:rsidR="00237E29">
              <w:rPr>
                <w:rFonts w:ascii="Times New Roman" w:eastAsia="Times New Roman" w:hAnsi="Times New Roman" w:cs="Times New Roman"/>
                <w:sz w:val="24"/>
                <w:szCs w:val="24"/>
                <w:lang w:eastAsia="lv-LV"/>
              </w:rPr>
              <w:t> </w:t>
            </w:r>
            <w:r w:rsidRPr="00596C45">
              <w:rPr>
                <w:rFonts w:ascii="Times New Roman" w:eastAsia="Times New Roman" w:hAnsi="Times New Roman" w:cs="Times New Roman"/>
                <w:sz w:val="24"/>
                <w:szCs w:val="24"/>
                <w:lang w:eastAsia="lv-LV"/>
              </w:rPr>
              <w:t>panta otrajai daļai.</w:t>
            </w:r>
          </w:p>
        </w:tc>
      </w:tr>
      <w:tr w:rsidR="000B4E0A" w:rsidRPr="000B4E0A" w14:paraId="04885197" w14:textId="77777777" w:rsidTr="00276A62">
        <w:trPr>
          <w:trHeight w:val="567"/>
        </w:trPr>
        <w:tc>
          <w:tcPr>
            <w:tcW w:w="1537" w:type="pct"/>
            <w:shd w:val="clear" w:color="auto" w:fill="auto"/>
            <w:hideMark/>
          </w:tcPr>
          <w:p w14:paraId="1E672D34"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773DE959"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463" w:type="pct"/>
            <w:shd w:val="clear" w:color="auto" w:fill="auto"/>
          </w:tcPr>
          <w:p w14:paraId="1D2DE3C9" w14:textId="220283F7" w:rsidR="00E53DE9" w:rsidRPr="000A006C" w:rsidRDefault="00596C45" w:rsidP="00631134">
            <w:pPr>
              <w:spacing w:after="120" w:line="240" w:lineRule="auto"/>
              <w:jc w:val="both"/>
              <w:rPr>
                <w:rFonts w:ascii="Times New Roman" w:eastAsia="Times New Roman" w:hAnsi="Times New Roman" w:cs="Times New Roman"/>
                <w:sz w:val="24"/>
                <w:szCs w:val="24"/>
                <w:lang w:eastAsia="lv-LV"/>
              </w:rPr>
            </w:pPr>
            <w:r w:rsidRPr="00596C45">
              <w:rPr>
                <w:rFonts w:ascii="Times New Roman" w:eastAsia="Times New Roman" w:hAnsi="Times New Roman" w:cs="Times New Roman"/>
                <w:sz w:val="24"/>
                <w:szCs w:val="24"/>
                <w:lang w:eastAsia="lv-LV"/>
              </w:rPr>
              <w:t>Normatīvā akta izdošana neietekmēs Latvijas Bankas budžeta ieņēmumus un izdevumus.</w:t>
            </w:r>
          </w:p>
        </w:tc>
      </w:tr>
      <w:tr w:rsidR="000B4E0A" w:rsidRPr="000B4E0A" w14:paraId="4C68241A" w14:textId="77777777" w:rsidTr="00276A62">
        <w:trPr>
          <w:trHeight w:val="567"/>
        </w:trPr>
        <w:tc>
          <w:tcPr>
            <w:tcW w:w="1537" w:type="pct"/>
            <w:shd w:val="clear" w:color="auto" w:fill="auto"/>
            <w:hideMark/>
          </w:tcPr>
          <w:p w14:paraId="7CAED0D7"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Administratīvā sloga un izmaksu novērtējums </w:t>
            </w:r>
            <w:r w:rsidR="00C85C34" w:rsidRPr="00E253DA">
              <w:rPr>
                <w:rFonts w:ascii="Times New Roman" w:eastAsia="Times New Roman" w:hAnsi="Times New Roman" w:cs="Times New Roman"/>
                <w:b/>
                <w:bCs/>
                <w:sz w:val="24"/>
                <w:szCs w:val="24"/>
                <w:lang w:eastAsia="lv-LV"/>
              </w:rPr>
              <w:t>(</w:t>
            </w:r>
            <w:r w:rsidRPr="00E253DA">
              <w:rPr>
                <w:rFonts w:ascii="Times New Roman" w:eastAsia="Times New Roman" w:hAnsi="Times New Roman" w:cs="Times New Roman"/>
                <w:b/>
                <w:bCs/>
                <w:sz w:val="24"/>
                <w:szCs w:val="24"/>
                <w:lang w:eastAsia="lv-LV"/>
              </w:rPr>
              <w:t>tirgus dalībniekiem</w:t>
            </w:r>
            <w:r w:rsidR="00C85C34" w:rsidRPr="00E253DA">
              <w:rPr>
                <w:rFonts w:ascii="Times New Roman" w:eastAsia="Times New Roman" w:hAnsi="Times New Roman" w:cs="Times New Roman"/>
                <w:b/>
                <w:bCs/>
                <w:sz w:val="24"/>
                <w:szCs w:val="24"/>
                <w:lang w:eastAsia="lv-LV"/>
              </w:rPr>
              <w:t>)</w:t>
            </w:r>
          </w:p>
          <w:p w14:paraId="598EB0C7"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463" w:type="pct"/>
            <w:shd w:val="clear" w:color="auto" w:fill="auto"/>
          </w:tcPr>
          <w:p w14:paraId="5220B90E" w14:textId="500EB2AF" w:rsidR="00A42788" w:rsidRPr="000A006C" w:rsidRDefault="00596C45" w:rsidP="00631134">
            <w:pPr>
              <w:spacing w:after="120" w:line="240" w:lineRule="auto"/>
              <w:jc w:val="both"/>
              <w:rPr>
                <w:rFonts w:ascii="Times New Roman" w:eastAsia="Times New Roman" w:hAnsi="Times New Roman" w:cs="Times New Roman"/>
                <w:sz w:val="24"/>
                <w:szCs w:val="24"/>
                <w:lang w:eastAsia="lv-LV"/>
              </w:rPr>
            </w:pPr>
            <w:r w:rsidRPr="00596C45">
              <w:rPr>
                <w:rFonts w:ascii="Times New Roman" w:eastAsia="Times New Roman" w:hAnsi="Times New Roman" w:cs="Times New Roman"/>
                <w:sz w:val="24"/>
                <w:szCs w:val="24"/>
                <w:lang w:eastAsia="lv-LV"/>
              </w:rPr>
              <w:t>Noteikumu projektā ietverto prasību izdošana jaunā redakcijā nerada papildu administratīvo slogu tirgus dalībniekiem, uz kuriem ir attiecināmas noteikumu projekta prasības</w:t>
            </w:r>
            <w:r w:rsidR="002604D3">
              <w:rPr>
                <w:rFonts w:ascii="Times New Roman" w:eastAsia="Times New Roman" w:hAnsi="Times New Roman" w:cs="Times New Roman"/>
                <w:sz w:val="24"/>
                <w:szCs w:val="24"/>
                <w:lang w:eastAsia="lv-LV"/>
              </w:rPr>
              <w:t xml:space="preserve">, jo noteikumu projektā saglabātas pašlaik spēkā esošās prasības </w:t>
            </w:r>
            <w:r w:rsidR="00B6619C">
              <w:rPr>
                <w:rFonts w:ascii="Times New Roman" w:eastAsia="Times New Roman" w:hAnsi="Times New Roman" w:cs="Times New Roman"/>
                <w:sz w:val="24"/>
                <w:szCs w:val="24"/>
                <w:lang w:eastAsia="lv-LV"/>
              </w:rPr>
              <w:t xml:space="preserve">attiecībā uz </w:t>
            </w:r>
            <w:r w:rsidR="002604D3">
              <w:rPr>
                <w:rFonts w:ascii="Times New Roman" w:eastAsia="Times New Roman" w:hAnsi="Times New Roman" w:cs="Times New Roman"/>
                <w:sz w:val="24"/>
                <w:szCs w:val="24"/>
                <w:lang w:eastAsia="lv-LV"/>
              </w:rPr>
              <w:t xml:space="preserve">darbinieku, kuri sniedz ieguldījumu konsultācijas vai informāciju par </w:t>
            </w:r>
            <w:r w:rsidR="002604D3" w:rsidRPr="002604D3">
              <w:rPr>
                <w:rFonts w:ascii="Times New Roman" w:eastAsia="Times New Roman" w:hAnsi="Times New Roman" w:cs="Times New Roman"/>
                <w:sz w:val="24"/>
                <w:szCs w:val="24"/>
                <w:lang w:eastAsia="lv-LV"/>
              </w:rPr>
              <w:t>finanšu instrumentiem, strukturētiem noguldījumiem, ieguldījumu pakalpojumiem vai ieguldījumu blakuspakalpojumiem</w:t>
            </w:r>
            <w:r w:rsidR="002604D3">
              <w:rPr>
                <w:rFonts w:ascii="Times New Roman" w:eastAsia="Times New Roman" w:hAnsi="Times New Roman" w:cs="Times New Roman"/>
                <w:sz w:val="24"/>
                <w:szCs w:val="24"/>
                <w:lang w:eastAsia="lv-LV"/>
              </w:rPr>
              <w:t>, zināšanām un kompetenci.</w:t>
            </w:r>
          </w:p>
        </w:tc>
      </w:tr>
      <w:tr w:rsidR="000B4E0A" w:rsidRPr="000B4E0A" w14:paraId="43825A5E" w14:textId="77777777" w:rsidTr="00276A62">
        <w:trPr>
          <w:trHeight w:val="567"/>
        </w:trPr>
        <w:tc>
          <w:tcPr>
            <w:tcW w:w="1537" w:type="pct"/>
            <w:shd w:val="clear" w:color="auto" w:fill="auto"/>
            <w:hideMark/>
          </w:tcPr>
          <w:p w14:paraId="523DE75D" w14:textId="77777777" w:rsidR="00A42788" w:rsidRPr="00E23DE3" w:rsidRDefault="00A42788" w:rsidP="000B4E0A">
            <w:pPr>
              <w:spacing w:after="0" w:line="240" w:lineRule="auto"/>
              <w:rPr>
                <w:rFonts w:ascii="Times New Roman" w:eastAsia="Times New Roman" w:hAnsi="Times New Roman" w:cs="Times New Roman"/>
                <w:b/>
                <w:bCs/>
                <w:sz w:val="24"/>
                <w:szCs w:val="24"/>
                <w:lang w:eastAsia="lv-LV"/>
              </w:rPr>
            </w:pPr>
            <w:r w:rsidRPr="00E23DE3">
              <w:rPr>
                <w:rFonts w:ascii="Times New Roman" w:eastAsia="Times New Roman" w:hAnsi="Times New Roman" w:cs="Times New Roman"/>
                <w:b/>
                <w:bCs/>
                <w:sz w:val="24"/>
                <w:szCs w:val="24"/>
                <w:lang w:eastAsia="lv-LV"/>
              </w:rPr>
              <w:t>Saistītie dokumenti</w:t>
            </w:r>
          </w:p>
          <w:p w14:paraId="2BE1C689" w14:textId="77777777" w:rsidR="00CA28AB" w:rsidRPr="00E23DE3" w:rsidRDefault="00CA28AB" w:rsidP="000B4E0A">
            <w:pPr>
              <w:spacing w:after="0" w:line="240" w:lineRule="auto"/>
              <w:rPr>
                <w:rFonts w:ascii="Times New Roman" w:eastAsia="Times New Roman" w:hAnsi="Times New Roman" w:cs="Times New Roman"/>
                <w:b/>
                <w:bCs/>
                <w:sz w:val="24"/>
                <w:szCs w:val="24"/>
                <w:lang w:eastAsia="lv-LV"/>
              </w:rPr>
            </w:pPr>
          </w:p>
        </w:tc>
        <w:tc>
          <w:tcPr>
            <w:tcW w:w="3463" w:type="pct"/>
            <w:shd w:val="clear" w:color="auto" w:fill="auto"/>
          </w:tcPr>
          <w:p w14:paraId="779F6122" w14:textId="77777777" w:rsidR="00D9231D" w:rsidRPr="00E23DE3" w:rsidRDefault="002604D3" w:rsidP="002604D3">
            <w:pPr>
              <w:spacing w:after="0" w:line="240" w:lineRule="auto"/>
              <w:jc w:val="both"/>
              <w:rPr>
                <w:rStyle w:val="Hyperlink"/>
                <w:rFonts w:ascii="Times New Roman" w:eastAsia="Times New Roman" w:hAnsi="Times New Roman" w:cs="Times New Roman"/>
                <w:sz w:val="24"/>
                <w:szCs w:val="24"/>
                <w:lang w:eastAsia="lv-LV"/>
              </w:rPr>
            </w:pPr>
            <w:r w:rsidRPr="00E23DE3">
              <w:rPr>
                <w:rFonts w:ascii="Times New Roman" w:eastAsia="Times New Roman" w:hAnsi="Times New Roman" w:cs="Times New Roman"/>
                <w:sz w:val="24"/>
                <w:szCs w:val="24"/>
                <w:lang w:eastAsia="lv-LV"/>
              </w:rPr>
              <w:t xml:space="preserve">1. </w:t>
            </w:r>
            <w:hyperlink r:id="rId10" w:history="1">
              <w:r w:rsidRPr="00E23DE3">
                <w:rPr>
                  <w:rStyle w:val="Hyperlink"/>
                  <w:rFonts w:ascii="Times New Roman" w:eastAsia="Times New Roman" w:hAnsi="Times New Roman" w:cs="Times New Roman"/>
                  <w:sz w:val="24"/>
                  <w:szCs w:val="24"/>
                  <w:lang w:eastAsia="lv-LV"/>
                </w:rPr>
                <w:t>Finanšu instrumentu tirgus likums.</w:t>
              </w:r>
            </w:hyperlink>
          </w:p>
          <w:p w14:paraId="08C23442" w14:textId="45BA062F" w:rsidR="002604D3" w:rsidRPr="00E23DE3" w:rsidRDefault="00D9231D" w:rsidP="002604D3">
            <w:pPr>
              <w:spacing w:after="0" w:line="240" w:lineRule="auto"/>
              <w:jc w:val="both"/>
              <w:rPr>
                <w:rFonts w:ascii="Times New Roman" w:eastAsia="Times New Roman" w:hAnsi="Times New Roman" w:cs="Times New Roman"/>
                <w:sz w:val="24"/>
                <w:szCs w:val="24"/>
                <w:lang w:eastAsia="lv-LV"/>
              </w:rPr>
            </w:pPr>
            <w:r w:rsidRPr="00E23DE3">
              <w:rPr>
                <w:rFonts w:ascii="Times New Roman" w:eastAsia="Times New Roman" w:hAnsi="Times New Roman" w:cs="Times New Roman"/>
                <w:sz w:val="24"/>
                <w:szCs w:val="24"/>
                <w:lang w:eastAsia="lv-LV"/>
              </w:rPr>
              <w:t xml:space="preserve">2. </w:t>
            </w:r>
            <w:hyperlink r:id="rId11" w:history="1">
              <w:r w:rsidRPr="00E23DE3">
                <w:rPr>
                  <w:rStyle w:val="Hyperlink"/>
                  <w:rFonts w:ascii="Times New Roman" w:eastAsia="Times New Roman" w:hAnsi="Times New Roman" w:cs="Times New Roman"/>
                  <w:sz w:val="24"/>
                  <w:szCs w:val="24"/>
                  <w:lang w:eastAsia="lv-LV"/>
                </w:rPr>
                <w:t>Noteikumi Nr. 105.</w:t>
              </w:r>
            </w:hyperlink>
            <w:r w:rsidR="002604D3" w:rsidRPr="00E23DE3">
              <w:rPr>
                <w:rFonts w:ascii="Times New Roman" w:eastAsia="Times New Roman" w:hAnsi="Times New Roman" w:cs="Times New Roman"/>
                <w:sz w:val="24"/>
                <w:szCs w:val="24"/>
                <w:lang w:eastAsia="lv-LV"/>
              </w:rPr>
              <w:t xml:space="preserve"> </w:t>
            </w:r>
          </w:p>
          <w:p w14:paraId="7495961D" w14:textId="77777777" w:rsidR="003E6AEB" w:rsidRDefault="008876FA" w:rsidP="003E6AEB">
            <w:pPr>
              <w:spacing w:after="0" w:line="240" w:lineRule="auto"/>
              <w:jc w:val="both"/>
              <w:rPr>
                <w:rStyle w:val="Hyperlink"/>
                <w:rFonts w:ascii="Times New Roman" w:eastAsia="Times New Roman" w:hAnsi="Times New Roman" w:cs="Times New Roman"/>
                <w:sz w:val="24"/>
                <w:szCs w:val="24"/>
                <w:lang w:eastAsia="lv-LV"/>
              </w:rPr>
            </w:pPr>
            <w:r w:rsidRPr="00E23DE3">
              <w:rPr>
                <w:rFonts w:ascii="Times New Roman" w:eastAsia="Times New Roman" w:hAnsi="Times New Roman" w:cs="Times New Roman"/>
                <w:sz w:val="24"/>
                <w:szCs w:val="24"/>
                <w:lang w:eastAsia="lv-LV"/>
              </w:rPr>
              <w:t>3.</w:t>
            </w:r>
            <w:r w:rsidR="00E43385" w:rsidRPr="00E23DE3">
              <w:rPr>
                <w:rFonts w:ascii="Times New Roman" w:eastAsia="Times New Roman" w:hAnsi="Times New Roman" w:cs="Times New Roman"/>
                <w:sz w:val="24"/>
                <w:szCs w:val="24"/>
                <w:lang w:eastAsia="lv-LV"/>
              </w:rPr>
              <w:t xml:space="preserve"> </w:t>
            </w:r>
            <w:hyperlink r:id="rId12" w:history="1">
              <w:r w:rsidR="00E43385" w:rsidRPr="00E23DE3">
                <w:rPr>
                  <w:rStyle w:val="Hyperlink"/>
                  <w:rFonts w:ascii="Times New Roman" w:eastAsia="Times New Roman" w:hAnsi="Times New Roman" w:cs="Times New Roman"/>
                  <w:sz w:val="24"/>
                  <w:szCs w:val="24"/>
                  <w:lang w:eastAsia="lv-LV"/>
                </w:rPr>
                <w:t>Direktīva Nr. 2014/65/ES.</w:t>
              </w:r>
            </w:hyperlink>
          </w:p>
          <w:p w14:paraId="00526E85" w14:textId="462418AC" w:rsidR="00DD1BAA" w:rsidRPr="003E6AEB" w:rsidRDefault="003E6AEB" w:rsidP="003E6AEB">
            <w:pPr>
              <w:spacing w:after="0" w:line="240" w:lineRule="auto"/>
              <w:jc w:val="both"/>
              <w:rPr>
                <w:rFonts w:ascii="Times New Roman" w:eastAsia="Times New Roman" w:hAnsi="Times New Roman" w:cs="Times New Roman"/>
                <w:color w:val="0563C1" w:themeColor="hyperlink"/>
                <w:sz w:val="24"/>
                <w:szCs w:val="24"/>
                <w:u w:val="single"/>
                <w:lang w:eastAsia="lv-LV"/>
              </w:rPr>
            </w:pPr>
            <w:r w:rsidRPr="003E6AEB">
              <w:rPr>
                <w:rFonts w:ascii="Times New Roman" w:hAnsi="Times New Roman" w:cs="Times New Roman"/>
                <w:sz w:val="24"/>
                <w:szCs w:val="24"/>
              </w:rPr>
              <w:t>4</w:t>
            </w:r>
            <w:r w:rsidRPr="003E6AEB">
              <w:t>.</w:t>
            </w:r>
            <w:r w:rsidR="00F548B4">
              <w:t> </w:t>
            </w:r>
            <w:hyperlink r:id="rId13" w:history="1">
              <w:r w:rsidR="00DD1BAA" w:rsidRPr="004553B1">
                <w:rPr>
                  <w:rStyle w:val="Hyperlink"/>
                  <w:rFonts w:ascii="Times New Roman" w:eastAsia="Times New Roman" w:hAnsi="Times New Roman" w:cs="Times New Roman"/>
                  <w:sz w:val="24"/>
                  <w:szCs w:val="24"/>
                  <w:lang w:eastAsia="lv-LV"/>
                </w:rPr>
                <w:t>Komisijas 2016. gada 25. aprīļa deleģētā regula (ES) 2017/565, ar ko papildina Eiropas Parlamenta un Padomes direktīvu</w:t>
              </w:r>
              <w:r w:rsidR="00F548B4">
                <w:rPr>
                  <w:rStyle w:val="Hyperlink"/>
                  <w:rFonts w:ascii="Times New Roman" w:eastAsia="Times New Roman" w:hAnsi="Times New Roman" w:cs="Times New Roman"/>
                  <w:sz w:val="24"/>
                  <w:szCs w:val="24"/>
                  <w:lang w:eastAsia="lv-LV"/>
                </w:rPr>
                <w:t> </w:t>
              </w:r>
              <w:r w:rsidR="00DD1BAA" w:rsidRPr="004553B1">
                <w:rPr>
                  <w:rStyle w:val="Hyperlink"/>
                  <w:rFonts w:ascii="Times New Roman" w:eastAsia="Times New Roman" w:hAnsi="Times New Roman" w:cs="Times New Roman"/>
                  <w:sz w:val="24"/>
                  <w:szCs w:val="24"/>
                  <w:lang w:eastAsia="lv-LV"/>
                </w:rPr>
                <w:t>2014/65/ES attiecībā uz ieguldījumu brokeru sabiedrību organizatoriskām prasībām un darbības nosacījumiem un jēdzienu definīcijām minētās direktīvas mērķiem.</w:t>
              </w:r>
            </w:hyperlink>
          </w:p>
          <w:p w14:paraId="70E570BA" w14:textId="60A21C35" w:rsidR="00E53DE9" w:rsidRPr="00E23DE3" w:rsidRDefault="00DD1BAA" w:rsidP="002604D3">
            <w:pPr>
              <w:spacing w:after="0" w:line="240" w:lineRule="auto"/>
              <w:jc w:val="both"/>
              <w:rPr>
                <w:rStyle w:val="Hyperlink"/>
                <w:rFonts w:ascii="Times New Roman" w:hAnsi="Times New Roman" w:cs="Times New Roman"/>
                <w:sz w:val="24"/>
                <w:szCs w:val="24"/>
              </w:rPr>
            </w:pPr>
            <w:r>
              <w:rPr>
                <w:rFonts w:ascii="Times New Roman" w:eastAsia="Times New Roman" w:hAnsi="Times New Roman" w:cs="Times New Roman"/>
                <w:sz w:val="24"/>
                <w:szCs w:val="24"/>
                <w:lang w:eastAsia="lv-LV"/>
              </w:rPr>
              <w:t>5</w:t>
            </w:r>
            <w:r w:rsidR="002604D3" w:rsidRPr="00E23DE3">
              <w:rPr>
                <w:rFonts w:ascii="Times New Roman" w:eastAsia="Times New Roman" w:hAnsi="Times New Roman" w:cs="Times New Roman"/>
                <w:sz w:val="24"/>
                <w:szCs w:val="24"/>
                <w:lang w:eastAsia="lv-LV"/>
              </w:rPr>
              <w:t xml:space="preserve">. </w:t>
            </w:r>
            <w:hyperlink r:id="rId14" w:history="1">
              <w:r w:rsidR="00E43385" w:rsidRPr="00E23DE3">
                <w:rPr>
                  <w:rStyle w:val="Hyperlink"/>
                  <w:rFonts w:ascii="Times New Roman" w:eastAsia="Times New Roman" w:hAnsi="Times New Roman" w:cs="Times New Roman"/>
                  <w:sz w:val="24"/>
                  <w:szCs w:val="24"/>
                  <w:lang w:eastAsia="lv-LV"/>
                </w:rPr>
                <w:t>P</w:t>
              </w:r>
              <w:r w:rsidR="00E43385" w:rsidRPr="00E23DE3">
                <w:rPr>
                  <w:rStyle w:val="Hyperlink"/>
                  <w:rFonts w:ascii="Times New Roman" w:hAnsi="Times New Roman" w:cs="Times New Roman"/>
                  <w:sz w:val="24"/>
                  <w:szCs w:val="24"/>
                </w:rPr>
                <w:t>amatnostādnes.</w:t>
              </w:r>
            </w:hyperlink>
          </w:p>
          <w:p w14:paraId="0F8A30E4" w14:textId="094502EA" w:rsidR="00E23DE3" w:rsidRPr="00E23DE3" w:rsidRDefault="004553B1" w:rsidP="00631134">
            <w:pPr>
              <w:spacing w:after="120" w:line="240" w:lineRule="auto"/>
              <w:jc w:val="both"/>
              <w:rPr>
                <w:rFonts w:ascii="Times New Roman" w:eastAsia="Times New Roman" w:hAnsi="Times New Roman" w:cs="Times New Roman"/>
                <w:sz w:val="24"/>
                <w:szCs w:val="24"/>
                <w:lang w:eastAsia="lv-LV"/>
              </w:rPr>
            </w:pPr>
            <w:r w:rsidRPr="004553B1">
              <w:rPr>
                <w:rFonts w:ascii="Times New Roman" w:eastAsia="Times New Roman" w:hAnsi="Times New Roman" w:cs="Times New Roman"/>
                <w:sz w:val="24"/>
                <w:szCs w:val="24"/>
                <w:lang w:eastAsia="lv-LV"/>
              </w:rPr>
              <w:t xml:space="preserve">6. </w:t>
            </w:r>
            <w:hyperlink r:id="rId15" w:history="1">
              <w:r w:rsidR="00E23DE3" w:rsidRPr="004553B1">
                <w:rPr>
                  <w:rStyle w:val="Hyperlink"/>
                  <w:rFonts w:ascii="Times New Roman" w:hAnsi="Times New Roman" w:cs="Times New Roman"/>
                  <w:sz w:val="24"/>
                  <w:szCs w:val="24"/>
                </w:rPr>
                <w:t>Eiropas Vērtspapīru un tirgu iestādes 2023. gada 3. aprīļa pamatnostādnes Nr. ESMA35-43-3172 "Pamatnostādnes par noteiktiem MIFID II piemērotības prasību aspektiem".</w:t>
              </w:r>
            </w:hyperlink>
          </w:p>
        </w:tc>
      </w:tr>
      <w:tr w:rsidR="000B4E0A" w:rsidRPr="000B4E0A" w14:paraId="1724D088" w14:textId="77777777" w:rsidTr="00276A62">
        <w:trPr>
          <w:trHeight w:val="567"/>
        </w:trPr>
        <w:tc>
          <w:tcPr>
            <w:tcW w:w="1537" w:type="pct"/>
            <w:shd w:val="clear" w:color="auto" w:fill="auto"/>
            <w:hideMark/>
          </w:tcPr>
          <w:p w14:paraId="7AD1A32F"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576E3683"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463" w:type="pct"/>
            <w:shd w:val="clear" w:color="auto" w:fill="auto"/>
          </w:tcPr>
          <w:p w14:paraId="3A2E23EB" w14:textId="1875A052" w:rsidR="00A42788" w:rsidRPr="000A006C" w:rsidRDefault="00596C45" w:rsidP="00631134">
            <w:pPr>
              <w:spacing w:after="120" w:line="240" w:lineRule="auto"/>
              <w:jc w:val="both"/>
              <w:rPr>
                <w:rFonts w:ascii="Times New Roman" w:eastAsia="Times New Roman" w:hAnsi="Times New Roman" w:cs="Times New Roman"/>
                <w:sz w:val="24"/>
                <w:szCs w:val="24"/>
                <w:lang w:eastAsia="lv-LV"/>
              </w:rPr>
            </w:pPr>
            <w:r w:rsidRPr="00596C45">
              <w:rPr>
                <w:rFonts w:ascii="Times New Roman" w:eastAsia="Times New Roman" w:hAnsi="Times New Roman" w:cs="Times New Roman"/>
                <w:sz w:val="24"/>
                <w:szCs w:val="24"/>
                <w:lang w:eastAsia="lv-LV"/>
              </w:rPr>
              <w:t>Noteikumu projektu nav nepieciešams saskaņot ar Eiropas Centrālo banku.</w:t>
            </w:r>
          </w:p>
        </w:tc>
      </w:tr>
      <w:tr w:rsidR="000B4E0A" w:rsidRPr="000B4E0A" w14:paraId="6366DEBE" w14:textId="77777777" w:rsidTr="00276A62">
        <w:trPr>
          <w:trHeight w:val="567"/>
        </w:trPr>
        <w:tc>
          <w:tcPr>
            <w:tcW w:w="1537" w:type="pct"/>
            <w:shd w:val="clear" w:color="auto" w:fill="auto"/>
            <w:hideMark/>
          </w:tcPr>
          <w:p w14:paraId="7A60A2EE"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8578722"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463" w:type="pct"/>
            <w:shd w:val="clear" w:color="auto" w:fill="auto"/>
          </w:tcPr>
          <w:p w14:paraId="00E81B2B" w14:textId="1FC04A98" w:rsidR="003A2608" w:rsidRPr="00596C45" w:rsidRDefault="00596C45" w:rsidP="003A2608">
            <w:pPr>
              <w:spacing w:after="120" w:line="240" w:lineRule="auto"/>
              <w:jc w:val="both"/>
              <w:rPr>
                <w:rFonts w:ascii="Times New Roman" w:eastAsia="Times New Roman" w:hAnsi="Times New Roman" w:cs="Times New Roman"/>
                <w:sz w:val="24"/>
                <w:szCs w:val="24"/>
                <w:lang w:eastAsia="lv-LV"/>
              </w:rPr>
            </w:pPr>
            <w:r w:rsidRPr="00596C45">
              <w:rPr>
                <w:rFonts w:ascii="Times New Roman" w:eastAsia="Times New Roman" w:hAnsi="Times New Roman" w:cs="Times New Roman"/>
                <w:sz w:val="24"/>
                <w:szCs w:val="24"/>
                <w:lang w:eastAsia="lv-LV"/>
              </w:rPr>
              <w:t xml:space="preserve">Noteikumu projekts </w:t>
            </w:r>
            <w:r w:rsidR="00F665C4">
              <w:rPr>
                <w:rFonts w:ascii="Times New Roman" w:eastAsia="Times New Roman" w:hAnsi="Times New Roman" w:cs="Times New Roman"/>
                <w:sz w:val="24"/>
                <w:szCs w:val="24"/>
                <w:lang w:eastAsia="lv-LV"/>
              </w:rPr>
              <w:t xml:space="preserve">2024. gada 17. jūnijā </w:t>
            </w:r>
            <w:r w:rsidRPr="00596C45">
              <w:rPr>
                <w:rFonts w:ascii="Times New Roman" w:eastAsia="Times New Roman" w:hAnsi="Times New Roman" w:cs="Times New Roman"/>
                <w:sz w:val="24"/>
                <w:szCs w:val="24"/>
                <w:lang w:eastAsia="lv-LV"/>
              </w:rPr>
              <w:t>tik</w:t>
            </w:r>
            <w:r w:rsidR="00B20594">
              <w:rPr>
                <w:rFonts w:ascii="Times New Roman" w:eastAsia="Times New Roman" w:hAnsi="Times New Roman" w:cs="Times New Roman"/>
                <w:sz w:val="24"/>
                <w:szCs w:val="24"/>
                <w:lang w:eastAsia="lv-LV"/>
              </w:rPr>
              <w:t>a</w:t>
            </w:r>
            <w:r w:rsidRPr="00596C45">
              <w:rPr>
                <w:rFonts w:ascii="Times New Roman" w:eastAsia="Times New Roman" w:hAnsi="Times New Roman" w:cs="Times New Roman"/>
                <w:sz w:val="24"/>
                <w:szCs w:val="24"/>
                <w:lang w:eastAsia="lv-LV"/>
              </w:rPr>
              <w:t xml:space="preserve"> publicēts Latvijas Bankas tīmekļvietnes www.bank.lv </w:t>
            </w:r>
            <w:r w:rsidR="003A2608">
              <w:rPr>
                <w:rFonts w:ascii="Times New Roman" w:eastAsia="Times New Roman" w:hAnsi="Times New Roman" w:cs="Times New Roman"/>
                <w:sz w:val="24"/>
                <w:szCs w:val="24"/>
                <w:lang w:eastAsia="lv-LV"/>
              </w:rPr>
              <w:t>sadaļas "Tiesību akti" apakš</w:t>
            </w:r>
            <w:r w:rsidRPr="00596C45">
              <w:rPr>
                <w:rFonts w:ascii="Times New Roman" w:eastAsia="Times New Roman" w:hAnsi="Times New Roman" w:cs="Times New Roman"/>
                <w:sz w:val="24"/>
                <w:szCs w:val="24"/>
                <w:lang w:eastAsia="lv-LV"/>
              </w:rPr>
              <w:t xml:space="preserve">sadaļā "Sabiedrības līdzdalība", </w:t>
            </w:r>
            <w:r w:rsidR="00F665C4">
              <w:rPr>
                <w:rFonts w:ascii="Times New Roman" w:eastAsia="Times New Roman" w:hAnsi="Times New Roman" w:cs="Times New Roman"/>
                <w:sz w:val="24"/>
                <w:szCs w:val="24"/>
                <w:lang w:eastAsia="lv-LV"/>
              </w:rPr>
              <w:t>aicinot priekšlikums iesniegt līdz 2024. gada 2. jūlijam.</w:t>
            </w:r>
          </w:p>
        </w:tc>
      </w:tr>
      <w:tr w:rsidR="000B4E0A" w:rsidRPr="000B4E0A" w14:paraId="22400B17" w14:textId="77777777" w:rsidTr="00276A62">
        <w:trPr>
          <w:trHeight w:val="567"/>
        </w:trPr>
        <w:tc>
          <w:tcPr>
            <w:tcW w:w="1537" w:type="pct"/>
            <w:shd w:val="clear" w:color="auto" w:fill="auto"/>
            <w:hideMark/>
          </w:tcPr>
          <w:p w14:paraId="7C7BF99C"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3B23D221"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463" w:type="pct"/>
            <w:shd w:val="clear" w:color="auto" w:fill="auto"/>
          </w:tcPr>
          <w:p w14:paraId="68410A96" w14:textId="1E66767A" w:rsidR="00E53DE9" w:rsidRPr="000A006C" w:rsidRDefault="00B20594" w:rsidP="00631134">
            <w:pPr>
              <w:spacing w:after="120" w:line="240" w:lineRule="auto"/>
              <w:jc w:val="both"/>
              <w:rPr>
                <w:rFonts w:ascii="Times New Roman" w:eastAsia="Times New Roman" w:hAnsi="Times New Roman" w:cs="Times New Roman"/>
                <w:sz w:val="24"/>
                <w:szCs w:val="24"/>
                <w:lang w:eastAsia="lv-LV"/>
              </w:rPr>
            </w:pPr>
            <w:r w:rsidRPr="00B20594">
              <w:rPr>
                <w:rFonts w:ascii="Times New Roman" w:eastAsia="Times New Roman" w:hAnsi="Times New Roman" w:cs="Times New Roman"/>
                <w:sz w:val="24"/>
                <w:szCs w:val="24"/>
                <w:lang w:eastAsia="lv-LV"/>
              </w:rPr>
              <w:t>Sabiedrības līdzdalības rezultātā par noteikumu projektu netika saņemti iebildumi vai priekšlikumi, līdz ar to noteikumu projekts ir saskaņots bez iebildumiem vai priekšlikumiem.</w:t>
            </w:r>
          </w:p>
        </w:tc>
      </w:tr>
    </w:tbl>
    <w:p w14:paraId="2E429939" w14:textId="4BFCF0B4" w:rsidR="00632254" w:rsidRDefault="00632254">
      <w:pPr>
        <w:rPr>
          <w:rFonts w:ascii="Times New Roman" w:hAnsi="Times New Roman" w:cs="Times New Roman"/>
          <w:sz w:val="24"/>
          <w:szCs w:val="24"/>
        </w:rPr>
      </w:pPr>
      <w:r>
        <w:rPr>
          <w:rFonts w:ascii="Times New Roman" w:hAnsi="Times New Roman" w:cs="Times New Roman"/>
          <w:sz w:val="24"/>
          <w:szCs w:val="24"/>
        </w:rPr>
        <w:br w:type="page"/>
      </w:r>
    </w:p>
    <w:p w14:paraId="2E4A8369" w14:textId="77777777" w:rsidR="00632254" w:rsidRDefault="00632254" w:rsidP="0049248A">
      <w:pPr>
        <w:spacing w:after="0" w:line="240" w:lineRule="auto"/>
        <w:rPr>
          <w:rFonts w:ascii="Times New Roman" w:hAnsi="Times New Roman" w:cs="Times New Roman"/>
          <w:sz w:val="24"/>
          <w:szCs w:val="24"/>
        </w:rPr>
        <w:sectPr w:rsidR="00632254" w:rsidSect="007E313B">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701" w:header="708" w:footer="708" w:gutter="0"/>
          <w:cols w:space="708"/>
          <w:titlePg/>
          <w:docGrid w:linePitch="360"/>
        </w:sectPr>
      </w:pPr>
    </w:p>
    <w:p w14:paraId="37D1809F" w14:textId="77777777" w:rsidR="008440F6" w:rsidRPr="008440F6" w:rsidRDefault="008440F6" w:rsidP="008440F6">
      <w:pPr>
        <w:spacing w:after="0" w:line="240" w:lineRule="auto"/>
        <w:jc w:val="right"/>
        <w:rPr>
          <w:rFonts w:ascii="Times New Roman" w:eastAsia="Times New Roman" w:hAnsi="Times New Roman" w:cs="Times New Roman"/>
          <w:color w:val="000000" w:themeColor="text1"/>
          <w:sz w:val="24"/>
          <w:szCs w:val="24"/>
          <w:lang w:eastAsia="lv-LV"/>
        </w:rPr>
      </w:pPr>
      <w:r w:rsidRPr="008440F6">
        <w:rPr>
          <w:rFonts w:ascii="Times New Roman" w:eastAsia="Times New Roman" w:hAnsi="Times New Roman" w:cs="Times New Roman"/>
          <w:color w:val="000000" w:themeColor="text1"/>
          <w:sz w:val="24"/>
          <w:szCs w:val="24"/>
          <w:lang w:eastAsia="lv-LV"/>
        </w:rPr>
        <w:lastRenderedPageBreak/>
        <w:t>Pielikums</w:t>
      </w:r>
    </w:p>
    <w:p w14:paraId="7B401E2A" w14:textId="77777777" w:rsidR="008440F6" w:rsidRPr="008440F6" w:rsidRDefault="008440F6" w:rsidP="008440F6">
      <w:pPr>
        <w:spacing w:after="0" w:line="240" w:lineRule="auto"/>
        <w:jc w:val="right"/>
        <w:rPr>
          <w:rFonts w:ascii="Times New Roman" w:eastAsia="Times New Roman" w:hAnsi="Times New Roman" w:cs="Times New Roman"/>
          <w:color w:val="000000" w:themeColor="text1"/>
          <w:sz w:val="24"/>
          <w:szCs w:val="24"/>
          <w:lang w:eastAsia="lv-LV"/>
        </w:rPr>
      </w:pPr>
      <w:r w:rsidRPr="008440F6">
        <w:rPr>
          <w:rFonts w:ascii="Times New Roman" w:eastAsia="Times New Roman" w:hAnsi="Times New Roman" w:cs="Times New Roman"/>
          <w:color w:val="000000" w:themeColor="text1"/>
          <w:sz w:val="24"/>
          <w:szCs w:val="24"/>
          <w:lang w:eastAsia="lv-LV"/>
        </w:rPr>
        <w:t>Latvijas Bankas noteikumu projekta anotācijai</w:t>
      </w:r>
    </w:p>
    <w:p w14:paraId="65D21942" w14:textId="77777777" w:rsidR="008440F6" w:rsidRPr="008440F6" w:rsidRDefault="008440F6" w:rsidP="008440F6">
      <w:pPr>
        <w:spacing w:after="0" w:line="240" w:lineRule="auto"/>
        <w:jc w:val="right"/>
        <w:rPr>
          <w:rFonts w:ascii="Times New Roman" w:eastAsia="Times New Roman" w:hAnsi="Times New Roman" w:cs="Times New Roman"/>
          <w:color w:val="000000" w:themeColor="text1"/>
          <w:sz w:val="24"/>
          <w:szCs w:val="24"/>
          <w:lang w:eastAsia="lv-LV"/>
        </w:rPr>
      </w:pPr>
    </w:p>
    <w:p w14:paraId="481FD750" w14:textId="77777777" w:rsidR="008440F6" w:rsidRPr="008440F6" w:rsidRDefault="008440F6" w:rsidP="008440F6">
      <w:pPr>
        <w:spacing w:after="0" w:line="240" w:lineRule="auto"/>
        <w:jc w:val="right"/>
        <w:rPr>
          <w:rFonts w:ascii="Times New Roman" w:eastAsia="Times New Roman" w:hAnsi="Times New Roman" w:cs="Times New Roman"/>
          <w:color w:val="000000" w:themeColor="text1"/>
          <w:sz w:val="24"/>
          <w:szCs w:val="24"/>
          <w:lang w:eastAsia="lv-LV"/>
        </w:rPr>
      </w:pPr>
    </w:p>
    <w:p w14:paraId="0893E5D7" w14:textId="77777777" w:rsidR="008440F6" w:rsidRPr="008440F6" w:rsidRDefault="008440F6" w:rsidP="008440F6">
      <w:pPr>
        <w:spacing w:after="0" w:line="240" w:lineRule="auto"/>
        <w:jc w:val="center"/>
        <w:rPr>
          <w:rFonts w:ascii="Times New Roman" w:eastAsia="Times New Roman" w:hAnsi="Times New Roman" w:cs="Times New Roman"/>
          <w:b/>
          <w:bCs/>
          <w:color w:val="000000" w:themeColor="text1"/>
          <w:sz w:val="24"/>
          <w:szCs w:val="24"/>
          <w:lang w:eastAsia="lv-LV"/>
        </w:rPr>
      </w:pPr>
      <w:r w:rsidRPr="008440F6">
        <w:rPr>
          <w:rFonts w:ascii="Times New Roman" w:eastAsia="Times New Roman" w:hAnsi="Times New Roman" w:cs="Times New Roman"/>
          <w:b/>
          <w:bCs/>
          <w:color w:val="000000" w:themeColor="text1"/>
          <w:sz w:val="24"/>
          <w:szCs w:val="24"/>
          <w:lang w:eastAsia="lv-LV"/>
        </w:rPr>
        <w:t>Eiropas Savienības tiesību aktu pārņemšanas/ieviešanas tabula</w:t>
      </w:r>
    </w:p>
    <w:p w14:paraId="6FA56DD8" w14:textId="77777777" w:rsidR="008440F6" w:rsidRPr="008440F6" w:rsidRDefault="008440F6" w:rsidP="008440F6">
      <w:pPr>
        <w:spacing w:after="0" w:line="240" w:lineRule="auto"/>
        <w:rPr>
          <w:rFonts w:ascii="Times New Roman" w:eastAsia="Times New Roman" w:hAnsi="Times New Roman" w:cs="Times New Roman"/>
          <w:color w:val="000000" w:themeColor="text1"/>
          <w:sz w:val="24"/>
          <w:szCs w:val="24"/>
          <w:lang w:eastAsia="lv-LV"/>
        </w:rPr>
      </w:pPr>
    </w:p>
    <w:p w14:paraId="54A94AF4" w14:textId="1FC6A959" w:rsidR="008440F6" w:rsidRPr="008440F6" w:rsidRDefault="008440F6" w:rsidP="00873EFC">
      <w:pPr>
        <w:spacing w:after="0" w:line="240" w:lineRule="auto"/>
        <w:jc w:val="both"/>
        <w:rPr>
          <w:rFonts w:ascii="Times New Roman" w:eastAsia="Times New Roman" w:hAnsi="Times New Roman" w:cs="Times New Roman"/>
          <w:color w:val="000000" w:themeColor="text1"/>
          <w:sz w:val="24"/>
          <w:szCs w:val="24"/>
          <w:lang w:eastAsia="lv-LV"/>
        </w:rPr>
      </w:pPr>
      <w:r w:rsidRPr="008876FA">
        <w:rPr>
          <w:rFonts w:ascii="Times New Roman" w:eastAsia="Times New Roman" w:hAnsi="Times New Roman" w:cs="Times New Roman"/>
          <w:b/>
          <w:bCs/>
          <w:color w:val="000000" w:themeColor="text1"/>
          <w:sz w:val="24"/>
          <w:szCs w:val="24"/>
          <w:lang w:eastAsia="lv-LV"/>
        </w:rPr>
        <w:t>Latvijas Bankas noteikumu projekta nosaukums:</w:t>
      </w:r>
      <w:r w:rsidRPr="008440F6">
        <w:rPr>
          <w:rFonts w:ascii="Times New Roman" w:eastAsia="Times New Roman" w:hAnsi="Times New Roman" w:cs="Times New Roman"/>
          <w:color w:val="000000" w:themeColor="text1"/>
          <w:sz w:val="24"/>
          <w:szCs w:val="24"/>
          <w:lang w:eastAsia="lv-LV"/>
        </w:rPr>
        <w:t xml:space="preserve"> </w:t>
      </w:r>
      <w:r w:rsidR="008876FA">
        <w:rPr>
          <w:rFonts w:ascii="Times New Roman" w:eastAsia="Times New Roman" w:hAnsi="Times New Roman" w:cs="Times New Roman"/>
          <w:color w:val="000000" w:themeColor="text1"/>
          <w:sz w:val="24"/>
          <w:szCs w:val="24"/>
          <w:lang w:eastAsia="lv-LV"/>
        </w:rPr>
        <w:t>"</w:t>
      </w:r>
      <w:r w:rsidR="00F548B4" w:rsidRPr="00F13D0C">
        <w:rPr>
          <w:rFonts w:ascii="Times New Roman" w:eastAsia="Times New Roman" w:hAnsi="Times New Roman" w:cs="Times New Roman"/>
          <w:sz w:val="24"/>
          <w:szCs w:val="24"/>
          <w:lang w:eastAsia="lv-LV"/>
        </w:rPr>
        <w:t>Noteikumi par nepieciešamajām zināšanām un kompetenci, lai sniegtu ieguldījumu konsultācijas vai informāciju par finanšu instrumentiem, strukturētiem noguldījumiem, ieguldījumu pakalpojumiem vai ieguldījumu blakuspakalpojumie</w:t>
      </w:r>
      <w:r w:rsidR="00F548B4">
        <w:rPr>
          <w:rFonts w:ascii="Times New Roman" w:eastAsia="Times New Roman" w:hAnsi="Times New Roman" w:cs="Times New Roman"/>
          <w:sz w:val="24"/>
          <w:szCs w:val="24"/>
          <w:lang w:eastAsia="lv-LV"/>
        </w:rPr>
        <w:t>m" (turpmāk – projekts)</w:t>
      </w:r>
    </w:p>
    <w:p w14:paraId="7DAD57CA" w14:textId="291074C3" w:rsidR="008440F6" w:rsidRPr="008440F6" w:rsidRDefault="008440F6" w:rsidP="00873EFC">
      <w:pPr>
        <w:spacing w:after="0" w:line="240" w:lineRule="auto"/>
        <w:jc w:val="both"/>
        <w:rPr>
          <w:rFonts w:ascii="Times New Roman" w:eastAsia="Times New Roman" w:hAnsi="Times New Roman" w:cs="Times New Roman"/>
          <w:color w:val="000000" w:themeColor="text1"/>
          <w:sz w:val="24"/>
          <w:szCs w:val="24"/>
          <w:lang w:eastAsia="lv-LV"/>
        </w:rPr>
      </w:pPr>
      <w:r w:rsidRPr="008876FA">
        <w:rPr>
          <w:rFonts w:ascii="Times New Roman" w:eastAsia="Times New Roman" w:hAnsi="Times New Roman" w:cs="Times New Roman"/>
          <w:b/>
          <w:bCs/>
          <w:color w:val="000000" w:themeColor="text1"/>
          <w:sz w:val="24"/>
          <w:szCs w:val="24"/>
          <w:lang w:eastAsia="lv-LV"/>
        </w:rPr>
        <w:t>Eiropas Savienības tiesību akta nosaukums:</w:t>
      </w:r>
      <w:r w:rsidRPr="008440F6">
        <w:rPr>
          <w:rFonts w:ascii="Times New Roman" w:eastAsia="Times New Roman" w:hAnsi="Times New Roman" w:cs="Times New Roman"/>
          <w:color w:val="000000" w:themeColor="text1"/>
          <w:sz w:val="24"/>
          <w:szCs w:val="24"/>
          <w:lang w:eastAsia="lv-LV"/>
        </w:rPr>
        <w:t xml:space="preserve"> Eiropas Parlamenta un Padomes 2014. gada 15. maija direktīva</w:t>
      </w:r>
      <w:r w:rsidR="00F548B4">
        <w:rPr>
          <w:rFonts w:ascii="Times New Roman" w:eastAsia="Times New Roman" w:hAnsi="Times New Roman" w:cs="Times New Roman"/>
          <w:color w:val="000000" w:themeColor="text1"/>
          <w:sz w:val="24"/>
          <w:szCs w:val="24"/>
          <w:lang w:eastAsia="lv-LV"/>
        </w:rPr>
        <w:t> </w:t>
      </w:r>
      <w:r w:rsidRPr="008440F6">
        <w:rPr>
          <w:rFonts w:ascii="Times New Roman" w:eastAsia="Times New Roman" w:hAnsi="Times New Roman" w:cs="Times New Roman"/>
          <w:color w:val="000000" w:themeColor="text1"/>
          <w:sz w:val="24"/>
          <w:szCs w:val="24"/>
          <w:lang w:eastAsia="lv-LV"/>
        </w:rPr>
        <w:t>2014/65/ES par finanšu instrumentu tirgiem, ar ko groza direktīvu</w:t>
      </w:r>
      <w:r w:rsidR="00F548B4">
        <w:rPr>
          <w:rFonts w:ascii="Times New Roman" w:eastAsia="Times New Roman" w:hAnsi="Times New Roman" w:cs="Times New Roman"/>
          <w:color w:val="000000" w:themeColor="text1"/>
          <w:sz w:val="24"/>
          <w:szCs w:val="24"/>
          <w:lang w:eastAsia="lv-LV"/>
        </w:rPr>
        <w:t> </w:t>
      </w:r>
      <w:r w:rsidRPr="008440F6">
        <w:rPr>
          <w:rFonts w:ascii="Times New Roman" w:eastAsia="Times New Roman" w:hAnsi="Times New Roman" w:cs="Times New Roman"/>
          <w:color w:val="000000" w:themeColor="text1"/>
          <w:sz w:val="24"/>
          <w:szCs w:val="24"/>
          <w:lang w:eastAsia="lv-LV"/>
        </w:rPr>
        <w:t>2002/92/ES un direktīvu</w:t>
      </w:r>
      <w:r w:rsidR="00F548B4">
        <w:rPr>
          <w:rFonts w:ascii="Times New Roman" w:eastAsia="Times New Roman" w:hAnsi="Times New Roman" w:cs="Times New Roman"/>
          <w:color w:val="000000" w:themeColor="text1"/>
          <w:sz w:val="24"/>
          <w:szCs w:val="24"/>
          <w:lang w:eastAsia="lv-LV"/>
        </w:rPr>
        <w:t> </w:t>
      </w:r>
      <w:r w:rsidRPr="008440F6">
        <w:rPr>
          <w:rFonts w:ascii="Times New Roman" w:eastAsia="Times New Roman" w:hAnsi="Times New Roman" w:cs="Times New Roman"/>
          <w:color w:val="000000" w:themeColor="text1"/>
          <w:sz w:val="24"/>
          <w:szCs w:val="24"/>
          <w:lang w:eastAsia="lv-LV"/>
        </w:rPr>
        <w:t>2011/61/ES (turpmāk</w:t>
      </w:r>
      <w:r w:rsidR="00237E29">
        <w:rPr>
          <w:rFonts w:ascii="Times New Roman" w:eastAsia="Times New Roman" w:hAnsi="Times New Roman" w:cs="Times New Roman"/>
          <w:color w:val="000000" w:themeColor="text1"/>
          <w:sz w:val="24"/>
          <w:szCs w:val="24"/>
          <w:lang w:eastAsia="lv-LV"/>
        </w:rPr>
        <w:t> </w:t>
      </w:r>
      <w:r w:rsidRPr="008440F6">
        <w:rPr>
          <w:rFonts w:ascii="Times New Roman" w:eastAsia="Times New Roman" w:hAnsi="Times New Roman" w:cs="Times New Roman"/>
          <w:color w:val="000000" w:themeColor="text1"/>
          <w:sz w:val="24"/>
          <w:szCs w:val="24"/>
          <w:lang w:eastAsia="lv-LV"/>
        </w:rPr>
        <w:t xml:space="preserve">– Direktīva </w:t>
      </w:r>
      <w:r w:rsidR="00E43385">
        <w:rPr>
          <w:rFonts w:ascii="Times New Roman" w:eastAsia="Times New Roman" w:hAnsi="Times New Roman" w:cs="Times New Roman"/>
          <w:color w:val="000000" w:themeColor="text1"/>
          <w:sz w:val="24"/>
          <w:szCs w:val="24"/>
          <w:lang w:eastAsia="lv-LV"/>
        </w:rPr>
        <w:t>Nr. </w:t>
      </w:r>
      <w:r w:rsidRPr="008440F6">
        <w:rPr>
          <w:rFonts w:ascii="Times New Roman" w:eastAsia="Times New Roman" w:hAnsi="Times New Roman" w:cs="Times New Roman"/>
          <w:color w:val="000000" w:themeColor="text1"/>
          <w:sz w:val="24"/>
          <w:szCs w:val="24"/>
          <w:lang w:eastAsia="lv-LV"/>
        </w:rPr>
        <w:t>2014/65</w:t>
      </w:r>
      <w:r w:rsidR="00E43385">
        <w:rPr>
          <w:rFonts w:ascii="Times New Roman" w:eastAsia="Times New Roman" w:hAnsi="Times New Roman" w:cs="Times New Roman"/>
          <w:color w:val="000000" w:themeColor="text1"/>
          <w:sz w:val="24"/>
          <w:szCs w:val="24"/>
          <w:lang w:eastAsia="lv-LV"/>
        </w:rPr>
        <w:t>/ES</w:t>
      </w:r>
      <w:r w:rsidRPr="008440F6">
        <w:rPr>
          <w:rFonts w:ascii="Times New Roman" w:eastAsia="Times New Roman" w:hAnsi="Times New Roman" w:cs="Times New Roman"/>
          <w:color w:val="000000" w:themeColor="text1"/>
          <w:sz w:val="24"/>
          <w:szCs w:val="24"/>
          <w:lang w:eastAsia="lv-LV"/>
        </w:rPr>
        <w:t>)</w:t>
      </w:r>
    </w:p>
    <w:p w14:paraId="7E0DE8D3" w14:textId="77777777" w:rsidR="008440F6" w:rsidRPr="008440F6" w:rsidRDefault="008440F6" w:rsidP="008440F6">
      <w:pPr>
        <w:spacing w:after="0" w:line="240" w:lineRule="auto"/>
        <w:jc w:val="right"/>
        <w:rPr>
          <w:rFonts w:ascii="Times New Roman" w:eastAsia="Times New Roman" w:hAnsi="Times New Roman" w:cs="Times New Roman"/>
          <w:color w:val="000000" w:themeColor="text1"/>
          <w:sz w:val="24"/>
          <w:szCs w:val="24"/>
          <w:lang w:eastAsia="lv-LV"/>
        </w:rPr>
      </w:pPr>
    </w:p>
    <w:tbl>
      <w:tblPr>
        <w:tblStyle w:val="TableGrid"/>
        <w:tblW w:w="14628" w:type="dxa"/>
        <w:tblLook w:val="04A0" w:firstRow="1" w:lastRow="0" w:firstColumn="1" w:lastColumn="0" w:noHBand="0" w:noVBand="1"/>
      </w:tblPr>
      <w:tblGrid>
        <w:gridCol w:w="2438"/>
        <w:gridCol w:w="2438"/>
        <w:gridCol w:w="2438"/>
        <w:gridCol w:w="2438"/>
        <w:gridCol w:w="2438"/>
        <w:gridCol w:w="2438"/>
      </w:tblGrid>
      <w:tr w:rsidR="008440F6" w:rsidRPr="008440F6" w14:paraId="4677E8B0" w14:textId="77777777" w:rsidTr="00C671AB">
        <w:tc>
          <w:tcPr>
            <w:tcW w:w="2438" w:type="dxa"/>
          </w:tcPr>
          <w:p w14:paraId="76A9DE03" w14:textId="77777777" w:rsidR="008440F6" w:rsidRPr="008440F6" w:rsidRDefault="008440F6" w:rsidP="008440F6">
            <w:pPr>
              <w:jc w:val="left"/>
              <w:rPr>
                <w:b/>
                <w:bCs/>
                <w:color w:val="000000" w:themeColor="text1"/>
                <w:sz w:val="24"/>
                <w:szCs w:val="24"/>
              </w:rPr>
            </w:pPr>
            <w:r w:rsidRPr="008440F6">
              <w:rPr>
                <w:b/>
                <w:bCs/>
                <w:color w:val="000000" w:themeColor="text1"/>
                <w:sz w:val="24"/>
                <w:szCs w:val="24"/>
              </w:rPr>
              <w:t xml:space="preserve">Eiropas Savienības tiesību akta pants, punkts vai apakšpunkts, kurā paredzētās prasības Latvijā jāizpilda </w:t>
            </w:r>
            <w:r w:rsidRPr="008440F6">
              <w:rPr>
                <w:i/>
                <w:iCs/>
                <w:color w:val="000000" w:themeColor="text1"/>
                <w:sz w:val="24"/>
                <w:szCs w:val="24"/>
              </w:rPr>
              <w:t>(Norāda pēc iespējas konkrētāku teksta vienību)</w:t>
            </w:r>
          </w:p>
        </w:tc>
        <w:tc>
          <w:tcPr>
            <w:tcW w:w="2438" w:type="dxa"/>
          </w:tcPr>
          <w:p w14:paraId="6DB70090" w14:textId="77777777" w:rsidR="008440F6" w:rsidRPr="008440F6" w:rsidRDefault="008440F6" w:rsidP="008440F6">
            <w:pPr>
              <w:jc w:val="left"/>
              <w:rPr>
                <w:b/>
                <w:bCs/>
                <w:color w:val="000000" w:themeColor="text1"/>
                <w:sz w:val="24"/>
                <w:szCs w:val="24"/>
              </w:rPr>
            </w:pPr>
            <w:r w:rsidRPr="008440F6">
              <w:rPr>
                <w:b/>
                <w:bCs/>
                <w:color w:val="000000" w:themeColor="text1"/>
                <w:sz w:val="24"/>
                <w:szCs w:val="24"/>
              </w:rPr>
              <w:t xml:space="preserve">Projekta punkts vai apakšpunkts, kas izpilda A ailē minēto prasību </w:t>
            </w:r>
          </w:p>
          <w:p w14:paraId="209D8EAC" w14:textId="77777777" w:rsidR="008440F6" w:rsidRPr="008440F6" w:rsidRDefault="008440F6" w:rsidP="008440F6">
            <w:pPr>
              <w:jc w:val="left"/>
              <w:rPr>
                <w:i/>
                <w:iCs/>
                <w:color w:val="000000" w:themeColor="text1"/>
                <w:sz w:val="24"/>
                <w:szCs w:val="24"/>
              </w:rPr>
            </w:pPr>
            <w:r w:rsidRPr="008440F6">
              <w:rPr>
                <w:i/>
                <w:iCs/>
                <w:color w:val="000000" w:themeColor="text1"/>
                <w:sz w:val="24"/>
                <w:szCs w:val="24"/>
              </w:rPr>
              <w:t>(Norāda pēc iespējas konkrētāku teksta vienību)</w:t>
            </w:r>
          </w:p>
        </w:tc>
        <w:tc>
          <w:tcPr>
            <w:tcW w:w="2438" w:type="dxa"/>
          </w:tcPr>
          <w:p w14:paraId="577727C9" w14:textId="77777777" w:rsidR="008440F6" w:rsidRPr="008440F6" w:rsidRDefault="008440F6" w:rsidP="008440F6">
            <w:pPr>
              <w:jc w:val="left"/>
              <w:rPr>
                <w:b/>
                <w:bCs/>
                <w:color w:val="000000" w:themeColor="text1"/>
                <w:sz w:val="24"/>
                <w:szCs w:val="24"/>
              </w:rPr>
            </w:pPr>
            <w:r w:rsidRPr="008440F6">
              <w:rPr>
                <w:b/>
                <w:bCs/>
                <w:color w:val="000000" w:themeColor="text1"/>
                <w:sz w:val="24"/>
                <w:szCs w:val="24"/>
              </w:rPr>
              <w:t xml:space="preserve">Vai A ailē minētā prasība ar B ailē minēto projekta punktu vai apakšpunktu tiek izpildīta pilnībā vai daļēji? </w:t>
            </w:r>
          </w:p>
          <w:p w14:paraId="113E38EB" w14:textId="77777777" w:rsidR="008440F6" w:rsidRPr="008440F6" w:rsidRDefault="008440F6" w:rsidP="008440F6">
            <w:pPr>
              <w:jc w:val="left"/>
              <w:rPr>
                <w:i/>
                <w:iCs/>
                <w:color w:val="000000" w:themeColor="text1"/>
                <w:sz w:val="24"/>
                <w:szCs w:val="24"/>
              </w:rPr>
            </w:pPr>
            <w:r w:rsidRPr="008440F6">
              <w:rPr>
                <w:i/>
                <w:iCs/>
                <w:color w:val="000000" w:themeColor="text1"/>
                <w:sz w:val="24"/>
                <w:szCs w:val="24"/>
              </w:rPr>
              <w:t>(Ja daļēji, norāda, kur un kā ir vai tiks nodrošināta prasības pilnīga izpilde)</w:t>
            </w:r>
          </w:p>
        </w:tc>
        <w:tc>
          <w:tcPr>
            <w:tcW w:w="2438" w:type="dxa"/>
          </w:tcPr>
          <w:p w14:paraId="1B1A3C41" w14:textId="4BB77028" w:rsidR="008440F6" w:rsidRPr="008440F6" w:rsidRDefault="008440F6" w:rsidP="008440F6">
            <w:pPr>
              <w:jc w:val="left"/>
              <w:rPr>
                <w:b/>
                <w:bCs/>
                <w:color w:val="000000" w:themeColor="text1"/>
                <w:sz w:val="24"/>
                <w:szCs w:val="24"/>
              </w:rPr>
            </w:pPr>
            <w:r w:rsidRPr="008440F6">
              <w:rPr>
                <w:b/>
                <w:bCs/>
                <w:color w:val="000000" w:themeColor="text1"/>
                <w:sz w:val="24"/>
                <w:szCs w:val="24"/>
              </w:rPr>
              <w:t>Vai B ailē norādītais projekta punkts vai apakšpunkts paredz stingrākas prasības, nekā A ailē minētā prasība</w:t>
            </w:r>
            <w:r w:rsidR="00F548B4">
              <w:rPr>
                <w:b/>
                <w:bCs/>
                <w:color w:val="000000" w:themeColor="text1"/>
                <w:sz w:val="24"/>
                <w:szCs w:val="24"/>
              </w:rPr>
              <w:t>?</w:t>
            </w:r>
            <w:r w:rsidRPr="008440F6">
              <w:rPr>
                <w:b/>
                <w:bCs/>
                <w:color w:val="000000" w:themeColor="text1"/>
                <w:sz w:val="24"/>
                <w:szCs w:val="24"/>
              </w:rPr>
              <w:t xml:space="preserve"> </w:t>
            </w:r>
          </w:p>
          <w:p w14:paraId="58865BE2" w14:textId="77777777" w:rsidR="008440F6" w:rsidRPr="008440F6" w:rsidRDefault="008440F6" w:rsidP="008440F6">
            <w:pPr>
              <w:jc w:val="left"/>
              <w:rPr>
                <w:i/>
                <w:iCs/>
                <w:color w:val="000000" w:themeColor="text1"/>
                <w:sz w:val="24"/>
                <w:szCs w:val="24"/>
              </w:rPr>
            </w:pPr>
            <w:r w:rsidRPr="008440F6">
              <w:rPr>
                <w:i/>
                <w:iCs/>
                <w:color w:val="000000" w:themeColor="text1"/>
                <w:sz w:val="24"/>
                <w:szCs w:val="24"/>
              </w:rPr>
              <w:t>(Ja paredz stingrākas prasības, norāda pamatojumu šādu stingrāku prasību nepieciešamībai)</w:t>
            </w:r>
          </w:p>
        </w:tc>
        <w:tc>
          <w:tcPr>
            <w:tcW w:w="2438" w:type="dxa"/>
          </w:tcPr>
          <w:p w14:paraId="357FD7E0" w14:textId="77777777" w:rsidR="008440F6" w:rsidRPr="008440F6" w:rsidRDefault="008440F6" w:rsidP="008440F6">
            <w:pPr>
              <w:jc w:val="left"/>
              <w:rPr>
                <w:b/>
                <w:bCs/>
                <w:color w:val="000000" w:themeColor="text1"/>
                <w:sz w:val="24"/>
                <w:szCs w:val="24"/>
              </w:rPr>
            </w:pPr>
            <w:r w:rsidRPr="008440F6">
              <w:rPr>
                <w:b/>
                <w:bCs/>
                <w:color w:val="000000" w:themeColor="text1"/>
                <w:sz w:val="24"/>
                <w:szCs w:val="24"/>
              </w:rPr>
              <w:t xml:space="preserve">Vai A ailē minētā prasība ir jāizpilda obligāti? </w:t>
            </w:r>
          </w:p>
          <w:p w14:paraId="04898000" w14:textId="77777777" w:rsidR="008440F6" w:rsidRPr="008440F6" w:rsidRDefault="008440F6" w:rsidP="008440F6">
            <w:pPr>
              <w:jc w:val="left"/>
              <w:rPr>
                <w:i/>
                <w:iCs/>
                <w:color w:val="000000" w:themeColor="text1"/>
                <w:sz w:val="24"/>
                <w:szCs w:val="24"/>
              </w:rPr>
            </w:pPr>
            <w:r w:rsidRPr="008440F6">
              <w:rPr>
                <w:i/>
                <w:iCs/>
                <w:color w:val="000000" w:themeColor="text1"/>
                <w:sz w:val="24"/>
                <w:szCs w:val="24"/>
              </w:rPr>
              <w:t>(Ja Eiropas Savienības tiesību akts paredz izvēles iespēju, norāda, vai un kādēļ šī rīcības brīvība Latvijā ir vai nav jāizmanto)</w:t>
            </w:r>
          </w:p>
          <w:p w14:paraId="2A002863" w14:textId="77777777" w:rsidR="008440F6" w:rsidRPr="008440F6" w:rsidRDefault="008440F6" w:rsidP="008440F6">
            <w:pPr>
              <w:jc w:val="left"/>
              <w:rPr>
                <w:b/>
                <w:bCs/>
                <w:color w:val="000000" w:themeColor="text1"/>
                <w:sz w:val="24"/>
                <w:szCs w:val="24"/>
              </w:rPr>
            </w:pPr>
          </w:p>
          <w:p w14:paraId="631A3421" w14:textId="77777777" w:rsidR="008440F6" w:rsidRPr="008440F6" w:rsidRDefault="008440F6" w:rsidP="008440F6">
            <w:pPr>
              <w:jc w:val="left"/>
              <w:rPr>
                <w:b/>
                <w:bCs/>
                <w:color w:val="000000" w:themeColor="text1"/>
                <w:sz w:val="24"/>
                <w:szCs w:val="24"/>
              </w:rPr>
            </w:pPr>
          </w:p>
        </w:tc>
        <w:tc>
          <w:tcPr>
            <w:tcW w:w="2438" w:type="dxa"/>
          </w:tcPr>
          <w:p w14:paraId="7F4ED1D7" w14:textId="77777777" w:rsidR="008440F6" w:rsidRPr="008440F6" w:rsidRDefault="008440F6" w:rsidP="008440F6">
            <w:pPr>
              <w:jc w:val="left"/>
              <w:rPr>
                <w:b/>
                <w:bCs/>
                <w:color w:val="000000" w:themeColor="text1"/>
                <w:sz w:val="24"/>
                <w:szCs w:val="24"/>
              </w:rPr>
            </w:pPr>
            <w:r w:rsidRPr="008440F6">
              <w:rPr>
                <w:b/>
                <w:bCs/>
                <w:color w:val="000000" w:themeColor="text1"/>
                <w:sz w:val="24"/>
                <w:szCs w:val="24"/>
              </w:rPr>
              <w:t>Vai A ailē minētais Eiropas Savienības tiesību akts paredz dalībvalsts paziņošanas pienākumu Eiropas Savienības institūcijām?</w:t>
            </w:r>
          </w:p>
          <w:p w14:paraId="0DD52EFA" w14:textId="77777777" w:rsidR="008440F6" w:rsidRPr="008440F6" w:rsidRDefault="008440F6" w:rsidP="008440F6">
            <w:pPr>
              <w:jc w:val="left"/>
              <w:rPr>
                <w:i/>
                <w:iCs/>
                <w:color w:val="000000" w:themeColor="text1"/>
                <w:sz w:val="24"/>
                <w:szCs w:val="24"/>
              </w:rPr>
            </w:pPr>
            <w:r w:rsidRPr="008440F6">
              <w:rPr>
                <w:i/>
                <w:iCs/>
                <w:color w:val="000000" w:themeColor="text1"/>
                <w:sz w:val="24"/>
                <w:szCs w:val="24"/>
              </w:rPr>
              <w:t>(Ja paredz, norāda, kas šo paziņošanas pienākumu izpildīs)</w:t>
            </w:r>
          </w:p>
        </w:tc>
      </w:tr>
      <w:tr w:rsidR="008440F6" w:rsidRPr="008440F6" w14:paraId="41749E0D" w14:textId="77777777" w:rsidTr="00C671AB">
        <w:tc>
          <w:tcPr>
            <w:tcW w:w="2438" w:type="dxa"/>
          </w:tcPr>
          <w:p w14:paraId="012686CD" w14:textId="77777777" w:rsidR="008440F6" w:rsidRPr="008440F6" w:rsidRDefault="008440F6" w:rsidP="008440F6">
            <w:pPr>
              <w:jc w:val="center"/>
              <w:rPr>
                <w:color w:val="000000" w:themeColor="text1"/>
                <w:sz w:val="24"/>
                <w:szCs w:val="24"/>
              </w:rPr>
            </w:pPr>
            <w:r w:rsidRPr="008440F6">
              <w:rPr>
                <w:color w:val="000000" w:themeColor="text1"/>
                <w:sz w:val="24"/>
                <w:szCs w:val="24"/>
              </w:rPr>
              <w:t>A</w:t>
            </w:r>
          </w:p>
        </w:tc>
        <w:tc>
          <w:tcPr>
            <w:tcW w:w="2438" w:type="dxa"/>
          </w:tcPr>
          <w:p w14:paraId="3E0E184D" w14:textId="77777777" w:rsidR="008440F6" w:rsidRPr="008440F6" w:rsidRDefault="008440F6" w:rsidP="008440F6">
            <w:pPr>
              <w:jc w:val="center"/>
              <w:rPr>
                <w:color w:val="000000" w:themeColor="text1"/>
                <w:sz w:val="24"/>
                <w:szCs w:val="24"/>
              </w:rPr>
            </w:pPr>
            <w:r w:rsidRPr="008440F6">
              <w:rPr>
                <w:color w:val="000000" w:themeColor="text1"/>
                <w:sz w:val="24"/>
                <w:szCs w:val="24"/>
              </w:rPr>
              <w:t>B</w:t>
            </w:r>
          </w:p>
        </w:tc>
        <w:tc>
          <w:tcPr>
            <w:tcW w:w="2438" w:type="dxa"/>
          </w:tcPr>
          <w:p w14:paraId="3DC713CC" w14:textId="77777777" w:rsidR="008440F6" w:rsidRPr="008440F6" w:rsidRDefault="008440F6" w:rsidP="008440F6">
            <w:pPr>
              <w:jc w:val="center"/>
              <w:rPr>
                <w:color w:val="000000" w:themeColor="text1"/>
                <w:sz w:val="24"/>
                <w:szCs w:val="24"/>
              </w:rPr>
            </w:pPr>
            <w:r w:rsidRPr="008440F6">
              <w:rPr>
                <w:color w:val="000000" w:themeColor="text1"/>
                <w:sz w:val="24"/>
                <w:szCs w:val="24"/>
              </w:rPr>
              <w:t>C</w:t>
            </w:r>
          </w:p>
        </w:tc>
        <w:tc>
          <w:tcPr>
            <w:tcW w:w="2438" w:type="dxa"/>
          </w:tcPr>
          <w:p w14:paraId="194F458A" w14:textId="77777777" w:rsidR="008440F6" w:rsidRPr="008440F6" w:rsidRDefault="008440F6" w:rsidP="008440F6">
            <w:pPr>
              <w:jc w:val="center"/>
              <w:rPr>
                <w:color w:val="000000" w:themeColor="text1"/>
                <w:sz w:val="24"/>
                <w:szCs w:val="24"/>
              </w:rPr>
            </w:pPr>
            <w:r w:rsidRPr="008440F6">
              <w:rPr>
                <w:color w:val="000000" w:themeColor="text1"/>
                <w:sz w:val="24"/>
                <w:szCs w:val="24"/>
              </w:rPr>
              <w:t>D</w:t>
            </w:r>
          </w:p>
        </w:tc>
        <w:tc>
          <w:tcPr>
            <w:tcW w:w="2438" w:type="dxa"/>
          </w:tcPr>
          <w:p w14:paraId="112B7D1A" w14:textId="77777777" w:rsidR="008440F6" w:rsidRPr="008440F6" w:rsidRDefault="008440F6" w:rsidP="008440F6">
            <w:pPr>
              <w:jc w:val="center"/>
              <w:rPr>
                <w:color w:val="000000" w:themeColor="text1"/>
                <w:sz w:val="24"/>
                <w:szCs w:val="24"/>
              </w:rPr>
            </w:pPr>
            <w:r w:rsidRPr="008440F6">
              <w:rPr>
                <w:color w:val="000000" w:themeColor="text1"/>
                <w:sz w:val="24"/>
                <w:szCs w:val="24"/>
              </w:rPr>
              <w:t>E</w:t>
            </w:r>
          </w:p>
        </w:tc>
        <w:tc>
          <w:tcPr>
            <w:tcW w:w="2438" w:type="dxa"/>
          </w:tcPr>
          <w:p w14:paraId="4C6B0A3D" w14:textId="77777777" w:rsidR="008440F6" w:rsidRPr="008440F6" w:rsidRDefault="008440F6" w:rsidP="008440F6">
            <w:pPr>
              <w:jc w:val="center"/>
              <w:rPr>
                <w:color w:val="000000" w:themeColor="text1"/>
                <w:sz w:val="24"/>
                <w:szCs w:val="24"/>
              </w:rPr>
            </w:pPr>
            <w:r w:rsidRPr="008440F6">
              <w:rPr>
                <w:color w:val="000000" w:themeColor="text1"/>
                <w:sz w:val="24"/>
                <w:szCs w:val="24"/>
              </w:rPr>
              <w:t>F</w:t>
            </w:r>
          </w:p>
        </w:tc>
      </w:tr>
      <w:tr w:rsidR="008440F6" w:rsidRPr="008440F6" w14:paraId="4D3E25C4" w14:textId="77777777" w:rsidTr="00C671AB">
        <w:tc>
          <w:tcPr>
            <w:tcW w:w="2438" w:type="dxa"/>
          </w:tcPr>
          <w:p w14:paraId="015F6BB9" w14:textId="3BD832DB" w:rsidR="008440F6" w:rsidRPr="008440F6" w:rsidRDefault="008440F6" w:rsidP="00F548B4">
            <w:pPr>
              <w:jc w:val="left"/>
              <w:rPr>
                <w:color w:val="000000" w:themeColor="text1"/>
                <w:sz w:val="24"/>
                <w:szCs w:val="24"/>
              </w:rPr>
            </w:pPr>
            <w:r w:rsidRPr="008440F6">
              <w:rPr>
                <w:color w:val="000000" w:themeColor="text1"/>
                <w:sz w:val="24"/>
                <w:szCs w:val="24"/>
              </w:rPr>
              <w:t>Direktīvas</w:t>
            </w:r>
            <w:r w:rsidR="00E43385">
              <w:rPr>
                <w:color w:val="000000" w:themeColor="text1"/>
                <w:sz w:val="24"/>
                <w:szCs w:val="24"/>
              </w:rPr>
              <w:t xml:space="preserve"> Nr. </w:t>
            </w:r>
            <w:r w:rsidRPr="008440F6">
              <w:rPr>
                <w:color w:val="000000" w:themeColor="text1"/>
                <w:sz w:val="24"/>
                <w:szCs w:val="24"/>
              </w:rPr>
              <w:t>2014/65</w:t>
            </w:r>
            <w:r w:rsidR="00E43385">
              <w:rPr>
                <w:color w:val="000000" w:themeColor="text1"/>
                <w:sz w:val="24"/>
                <w:szCs w:val="24"/>
              </w:rPr>
              <w:t>/ES</w:t>
            </w:r>
            <w:r w:rsidRPr="008440F6">
              <w:rPr>
                <w:color w:val="000000" w:themeColor="text1"/>
                <w:sz w:val="24"/>
                <w:szCs w:val="24"/>
              </w:rPr>
              <w:t xml:space="preserve"> </w:t>
            </w:r>
            <w:r w:rsidR="008876FA">
              <w:rPr>
                <w:color w:val="000000" w:themeColor="text1"/>
                <w:sz w:val="24"/>
                <w:szCs w:val="24"/>
              </w:rPr>
              <w:t>25</w:t>
            </w:r>
            <w:r w:rsidRPr="008440F6">
              <w:rPr>
                <w:color w:val="000000" w:themeColor="text1"/>
                <w:sz w:val="24"/>
                <w:szCs w:val="24"/>
              </w:rPr>
              <w:t>. panta 1. punkt</w:t>
            </w:r>
            <w:r w:rsidR="00B759B4">
              <w:rPr>
                <w:color w:val="000000" w:themeColor="text1"/>
                <w:sz w:val="24"/>
                <w:szCs w:val="24"/>
              </w:rPr>
              <w:t>a pēdējais teikums</w:t>
            </w:r>
          </w:p>
        </w:tc>
        <w:tc>
          <w:tcPr>
            <w:tcW w:w="2438" w:type="dxa"/>
          </w:tcPr>
          <w:p w14:paraId="50950F1B" w14:textId="45E043E1" w:rsidR="008440F6" w:rsidRPr="008440F6" w:rsidRDefault="008876FA" w:rsidP="008440F6">
            <w:pPr>
              <w:rPr>
                <w:color w:val="000000" w:themeColor="text1"/>
                <w:sz w:val="24"/>
                <w:szCs w:val="24"/>
              </w:rPr>
            </w:pPr>
            <w:r>
              <w:rPr>
                <w:color w:val="000000" w:themeColor="text1"/>
                <w:sz w:val="24"/>
                <w:szCs w:val="24"/>
              </w:rPr>
              <w:t xml:space="preserve">Projekta </w:t>
            </w:r>
            <w:r w:rsidR="001A6049">
              <w:rPr>
                <w:color w:val="000000" w:themeColor="text1"/>
                <w:sz w:val="24"/>
                <w:szCs w:val="24"/>
              </w:rPr>
              <w:t xml:space="preserve">2., </w:t>
            </w:r>
            <w:r>
              <w:rPr>
                <w:color w:val="000000" w:themeColor="text1"/>
                <w:sz w:val="24"/>
                <w:szCs w:val="24"/>
              </w:rPr>
              <w:t>6., 7., 8., 9., 10., 11.</w:t>
            </w:r>
            <w:r w:rsidR="004829C2">
              <w:rPr>
                <w:color w:val="000000" w:themeColor="text1"/>
                <w:sz w:val="24"/>
                <w:szCs w:val="24"/>
              </w:rPr>
              <w:t xml:space="preserve"> un</w:t>
            </w:r>
            <w:r>
              <w:rPr>
                <w:color w:val="000000" w:themeColor="text1"/>
                <w:sz w:val="24"/>
                <w:szCs w:val="24"/>
              </w:rPr>
              <w:t xml:space="preserve"> 12.</w:t>
            </w:r>
            <w:r w:rsidR="004829C2">
              <w:rPr>
                <w:color w:val="000000" w:themeColor="text1"/>
                <w:sz w:val="24"/>
                <w:szCs w:val="24"/>
              </w:rPr>
              <w:t> </w:t>
            </w:r>
            <w:r w:rsidR="00237E29">
              <w:rPr>
                <w:color w:val="000000" w:themeColor="text1"/>
                <w:sz w:val="24"/>
                <w:szCs w:val="24"/>
              </w:rPr>
              <w:t>punkts</w:t>
            </w:r>
          </w:p>
        </w:tc>
        <w:tc>
          <w:tcPr>
            <w:tcW w:w="2438" w:type="dxa"/>
          </w:tcPr>
          <w:p w14:paraId="73D2F071" w14:textId="77777777" w:rsidR="008440F6" w:rsidRPr="008440F6" w:rsidRDefault="008440F6" w:rsidP="008440F6">
            <w:pPr>
              <w:rPr>
                <w:color w:val="000000" w:themeColor="text1"/>
                <w:sz w:val="24"/>
                <w:szCs w:val="24"/>
              </w:rPr>
            </w:pPr>
            <w:r w:rsidRPr="008440F6">
              <w:rPr>
                <w:color w:val="000000" w:themeColor="text1"/>
                <w:sz w:val="24"/>
                <w:szCs w:val="24"/>
              </w:rPr>
              <w:t>Izpilda pilnībā</w:t>
            </w:r>
          </w:p>
        </w:tc>
        <w:tc>
          <w:tcPr>
            <w:tcW w:w="2438" w:type="dxa"/>
          </w:tcPr>
          <w:p w14:paraId="1E900852" w14:textId="77777777" w:rsidR="008440F6" w:rsidRPr="008440F6" w:rsidRDefault="008440F6" w:rsidP="008440F6">
            <w:pPr>
              <w:rPr>
                <w:color w:val="000000" w:themeColor="text1"/>
                <w:sz w:val="24"/>
                <w:szCs w:val="24"/>
              </w:rPr>
            </w:pPr>
            <w:r w:rsidRPr="008440F6">
              <w:rPr>
                <w:color w:val="000000" w:themeColor="text1"/>
                <w:sz w:val="24"/>
                <w:szCs w:val="24"/>
              </w:rPr>
              <w:t>Nē</w:t>
            </w:r>
          </w:p>
        </w:tc>
        <w:tc>
          <w:tcPr>
            <w:tcW w:w="2438" w:type="dxa"/>
          </w:tcPr>
          <w:p w14:paraId="39369D57" w14:textId="2E22A7F8" w:rsidR="008440F6" w:rsidRPr="008440F6" w:rsidRDefault="008876FA" w:rsidP="008440F6">
            <w:pPr>
              <w:rPr>
                <w:color w:val="000000" w:themeColor="text1"/>
                <w:sz w:val="24"/>
                <w:szCs w:val="24"/>
              </w:rPr>
            </w:pPr>
            <w:r>
              <w:rPr>
                <w:color w:val="000000" w:themeColor="text1"/>
                <w:sz w:val="24"/>
                <w:szCs w:val="24"/>
              </w:rPr>
              <w:t>Jā</w:t>
            </w:r>
          </w:p>
        </w:tc>
        <w:tc>
          <w:tcPr>
            <w:tcW w:w="2438" w:type="dxa"/>
          </w:tcPr>
          <w:p w14:paraId="2C0A42B3" w14:textId="428D0D11" w:rsidR="008440F6" w:rsidRPr="00E43385" w:rsidRDefault="008440F6" w:rsidP="00F548B4">
            <w:pPr>
              <w:jc w:val="left"/>
              <w:rPr>
                <w:color w:val="000000" w:themeColor="text1"/>
                <w:sz w:val="24"/>
                <w:szCs w:val="24"/>
              </w:rPr>
            </w:pPr>
            <w:r w:rsidRPr="00E43385">
              <w:rPr>
                <w:color w:val="000000" w:themeColor="text1"/>
                <w:sz w:val="24"/>
                <w:szCs w:val="24"/>
              </w:rPr>
              <w:t>Direktīvas</w:t>
            </w:r>
            <w:r w:rsidR="00E43385" w:rsidRPr="00E43385">
              <w:rPr>
                <w:color w:val="000000" w:themeColor="text1"/>
                <w:sz w:val="24"/>
                <w:szCs w:val="24"/>
              </w:rPr>
              <w:t xml:space="preserve"> Nr. </w:t>
            </w:r>
            <w:r w:rsidRPr="00E43385">
              <w:rPr>
                <w:color w:val="000000" w:themeColor="text1"/>
                <w:sz w:val="24"/>
                <w:szCs w:val="24"/>
              </w:rPr>
              <w:t>2014/65</w:t>
            </w:r>
            <w:r w:rsidR="00E43385" w:rsidRPr="00E43385">
              <w:rPr>
                <w:color w:val="000000" w:themeColor="text1"/>
                <w:sz w:val="24"/>
                <w:szCs w:val="24"/>
              </w:rPr>
              <w:t>/ES</w:t>
            </w:r>
            <w:r w:rsidRPr="00E43385">
              <w:rPr>
                <w:color w:val="000000" w:themeColor="text1"/>
                <w:sz w:val="24"/>
                <w:szCs w:val="24"/>
              </w:rPr>
              <w:t xml:space="preserve"> </w:t>
            </w:r>
            <w:r w:rsidR="00E43385" w:rsidRPr="00E43385">
              <w:rPr>
                <w:color w:val="000000" w:themeColor="text1"/>
                <w:sz w:val="24"/>
                <w:szCs w:val="24"/>
              </w:rPr>
              <w:t>9</w:t>
            </w:r>
            <w:r w:rsidRPr="00E43385">
              <w:rPr>
                <w:color w:val="000000" w:themeColor="text1"/>
                <w:sz w:val="24"/>
                <w:szCs w:val="24"/>
              </w:rPr>
              <w:t xml:space="preserve">3. panta </w:t>
            </w:r>
            <w:r w:rsidR="00E43385" w:rsidRPr="00E43385">
              <w:rPr>
                <w:color w:val="000000" w:themeColor="text1"/>
                <w:sz w:val="24"/>
                <w:szCs w:val="24"/>
              </w:rPr>
              <w:t>1</w:t>
            </w:r>
            <w:r w:rsidRPr="00E43385">
              <w:rPr>
                <w:color w:val="000000" w:themeColor="text1"/>
                <w:sz w:val="24"/>
                <w:szCs w:val="24"/>
              </w:rPr>
              <w:t xml:space="preserve">. punkts paredz, ka dalībvalstis paziņo Eiropas Komisijai </w:t>
            </w:r>
            <w:r w:rsidR="00E43385" w:rsidRPr="00E43385">
              <w:rPr>
                <w:color w:val="000000" w:themeColor="text1"/>
                <w:sz w:val="24"/>
                <w:szCs w:val="24"/>
              </w:rPr>
              <w:t>par šīs</w:t>
            </w:r>
            <w:r w:rsidR="00F548B4">
              <w:rPr>
                <w:color w:val="000000" w:themeColor="text1"/>
                <w:sz w:val="24"/>
                <w:szCs w:val="24"/>
              </w:rPr>
              <w:t xml:space="preserve"> </w:t>
            </w:r>
            <w:r w:rsidR="00E43385" w:rsidRPr="00E43385">
              <w:rPr>
                <w:color w:val="000000" w:themeColor="text1"/>
                <w:sz w:val="24"/>
                <w:szCs w:val="24"/>
              </w:rPr>
              <w:t>direktīvas prasību izpildi.</w:t>
            </w:r>
          </w:p>
          <w:p w14:paraId="20AD9A21" w14:textId="77777777" w:rsidR="008440F6" w:rsidRPr="008876FA" w:rsidRDefault="008440F6" w:rsidP="00E43385">
            <w:pPr>
              <w:rPr>
                <w:color w:val="000000" w:themeColor="text1"/>
                <w:sz w:val="24"/>
                <w:szCs w:val="24"/>
                <w:highlight w:val="green"/>
              </w:rPr>
            </w:pPr>
          </w:p>
          <w:p w14:paraId="3EFEBA4E" w14:textId="4C311AC6" w:rsidR="008440F6" w:rsidRPr="008876FA" w:rsidRDefault="00E43385" w:rsidP="00873EFC">
            <w:pPr>
              <w:jc w:val="left"/>
              <w:rPr>
                <w:color w:val="000000" w:themeColor="text1"/>
                <w:sz w:val="24"/>
                <w:szCs w:val="24"/>
                <w:highlight w:val="green"/>
              </w:rPr>
            </w:pPr>
            <w:r w:rsidRPr="00E43385">
              <w:rPr>
                <w:color w:val="000000" w:themeColor="text1"/>
                <w:sz w:val="24"/>
                <w:szCs w:val="24"/>
              </w:rPr>
              <w:lastRenderedPageBreak/>
              <w:t>Minēto paziņošanas</w:t>
            </w:r>
            <w:r w:rsidR="00F548B4">
              <w:rPr>
                <w:color w:val="000000" w:themeColor="text1"/>
                <w:sz w:val="24"/>
                <w:szCs w:val="24"/>
              </w:rPr>
              <w:t xml:space="preserve"> </w:t>
            </w:r>
            <w:r w:rsidRPr="00E43385">
              <w:rPr>
                <w:color w:val="000000" w:themeColor="text1"/>
                <w:sz w:val="24"/>
                <w:szCs w:val="24"/>
              </w:rPr>
              <w:t>pienākumu izpildīs</w:t>
            </w:r>
            <w:r w:rsidR="00F548B4">
              <w:rPr>
                <w:color w:val="000000" w:themeColor="text1"/>
                <w:sz w:val="24"/>
                <w:szCs w:val="24"/>
              </w:rPr>
              <w:t xml:space="preserve"> </w:t>
            </w:r>
            <w:r w:rsidRPr="00E43385">
              <w:rPr>
                <w:color w:val="000000" w:themeColor="text1"/>
                <w:sz w:val="24"/>
                <w:szCs w:val="24"/>
              </w:rPr>
              <w:t>Finanšu ministrija,</w:t>
            </w:r>
            <w:r w:rsidR="00F548B4">
              <w:rPr>
                <w:color w:val="000000" w:themeColor="text1"/>
                <w:sz w:val="24"/>
                <w:szCs w:val="24"/>
              </w:rPr>
              <w:t xml:space="preserve"> </w:t>
            </w:r>
            <w:r w:rsidRPr="00E43385">
              <w:rPr>
                <w:color w:val="000000" w:themeColor="text1"/>
                <w:sz w:val="24"/>
                <w:szCs w:val="24"/>
              </w:rPr>
              <w:t>sniedzot paziņojumu</w:t>
            </w:r>
            <w:r w:rsidR="00F548B4">
              <w:rPr>
                <w:color w:val="000000" w:themeColor="text1"/>
                <w:sz w:val="24"/>
                <w:szCs w:val="24"/>
              </w:rPr>
              <w:t xml:space="preserve"> </w:t>
            </w:r>
            <w:r w:rsidRPr="00E43385">
              <w:rPr>
                <w:color w:val="000000" w:themeColor="text1"/>
                <w:sz w:val="24"/>
                <w:szCs w:val="24"/>
              </w:rPr>
              <w:t>Eiropas Komisijai pēc</w:t>
            </w:r>
            <w:r w:rsidR="00F548B4">
              <w:rPr>
                <w:color w:val="000000" w:themeColor="text1"/>
                <w:sz w:val="24"/>
                <w:szCs w:val="24"/>
              </w:rPr>
              <w:t xml:space="preserve"> </w:t>
            </w:r>
            <w:r w:rsidRPr="00E43385">
              <w:rPr>
                <w:color w:val="000000" w:themeColor="text1"/>
                <w:sz w:val="24"/>
                <w:szCs w:val="24"/>
              </w:rPr>
              <w:t>projekta apstiprināšanas</w:t>
            </w:r>
            <w:r w:rsidR="00F548B4">
              <w:rPr>
                <w:color w:val="000000" w:themeColor="text1"/>
                <w:sz w:val="24"/>
                <w:szCs w:val="24"/>
              </w:rPr>
              <w:t xml:space="preserve"> </w:t>
            </w:r>
            <w:r w:rsidRPr="00E43385">
              <w:rPr>
                <w:color w:val="000000" w:themeColor="text1"/>
                <w:sz w:val="24"/>
                <w:szCs w:val="24"/>
              </w:rPr>
              <w:t>Latvijas Bankas padomē.</w:t>
            </w:r>
          </w:p>
        </w:tc>
      </w:tr>
    </w:tbl>
    <w:p w14:paraId="643BAB77" w14:textId="77777777" w:rsidR="008440F6" w:rsidRPr="008440F6" w:rsidRDefault="008440F6" w:rsidP="008440F6">
      <w:pPr>
        <w:spacing w:after="0" w:line="240" w:lineRule="auto"/>
        <w:jc w:val="right"/>
        <w:rPr>
          <w:rFonts w:ascii="Times New Roman" w:eastAsia="Times New Roman" w:hAnsi="Times New Roman" w:cs="Times New Roman"/>
          <w:color w:val="000000" w:themeColor="text1"/>
          <w:sz w:val="24"/>
          <w:szCs w:val="24"/>
          <w:lang w:eastAsia="lv-LV"/>
        </w:rPr>
      </w:pPr>
    </w:p>
    <w:p w14:paraId="41AB10CB" w14:textId="77777777" w:rsidR="00632254" w:rsidRPr="008440F6" w:rsidRDefault="00632254" w:rsidP="008440F6">
      <w:pPr>
        <w:spacing w:after="0" w:line="240" w:lineRule="auto"/>
        <w:jc w:val="right"/>
        <w:rPr>
          <w:rFonts w:ascii="Times New Roman" w:eastAsia="Times New Roman" w:hAnsi="Times New Roman" w:cs="Times New Roman"/>
          <w:color w:val="000000" w:themeColor="text1"/>
          <w:sz w:val="24"/>
          <w:szCs w:val="24"/>
          <w:lang w:eastAsia="lv-LV"/>
        </w:rPr>
      </w:pPr>
    </w:p>
    <w:sectPr w:rsidR="00632254" w:rsidRPr="008440F6" w:rsidSect="008440F6">
      <w:headerReference w:type="default" r:id="rId22"/>
      <w:footerReference w:type="default" r:id="rId23"/>
      <w:footerReference w:type="first" r:id="rId24"/>
      <w:pgSz w:w="16833" w:h="11908" w:orient="landscape"/>
      <w:pgMar w:top="1133" w:right="1133" w:bottom="1133" w:left="1133"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7477C6" w14:textId="77777777" w:rsidR="00935F8F" w:rsidRDefault="00935F8F" w:rsidP="009B27BE">
      <w:pPr>
        <w:spacing w:after="0" w:line="240" w:lineRule="auto"/>
      </w:pPr>
      <w:r>
        <w:separator/>
      </w:r>
    </w:p>
  </w:endnote>
  <w:endnote w:type="continuationSeparator" w:id="0">
    <w:p w14:paraId="165A28C6" w14:textId="77777777" w:rsidR="00935F8F" w:rsidRDefault="00935F8F"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FBE34" w14:textId="77777777" w:rsidR="00B6619C" w:rsidRDefault="00B661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97337" w14:textId="77777777" w:rsidR="00B6619C" w:rsidRDefault="00B661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D98A6" w14:textId="77777777" w:rsidR="00B6619C" w:rsidRDefault="00B661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85AD9" w14:textId="77777777" w:rsidR="008876FA" w:rsidRDefault="008876FA">
    <w:pP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01113" w14:textId="77777777" w:rsidR="008876FA" w:rsidRDefault="008876FA">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1A64D" w14:textId="77777777" w:rsidR="00935F8F" w:rsidRDefault="00935F8F" w:rsidP="009B27BE">
      <w:pPr>
        <w:spacing w:after="0" w:line="240" w:lineRule="auto"/>
      </w:pPr>
      <w:r>
        <w:separator/>
      </w:r>
    </w:p>
  </w:footnote>
  <w:footnote w:type="continuationSeparator" w:id="0">
    <w:p w14:paraId="5FD41167" w14:textId="77777777" w:rsidR="00935F8F" w:rsidRDefault="00935F8F"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2FDD8" w14:textId="77777777" w:rsidR="00B6619C" w:rsidRDefault="00B661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38AFC9A9"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AD82618" w14:textId="77777777" w:rsidR="007E313B" w:rsidRDefault="007E31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DA11B" w14:textId="77777777" w:rsidR="00B6619C" w:rsidRDefault="00B661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1874999533"/>
      <w:docPartObj>
        <w:docPartGallery w:val="Page Numbers (Top of Page)"/>
        <w:docPartUnique/>
      </w:docPartObj>
    </w:sdtPr>
    <w:sdtEndPr/>
    <w:sdtContent>
      <w:p w14:paraId="43448AB0" w14:textId="77777777" w:rsidR="008876FA" w:rsidRPr="00B6619C" w:rsidRDefault="008876FA">
        <w:pPr>
          <w:pStyle w:val="Header"/>
          <w:jc w:val="center"/>
          <w:rPr>
            <w:rFonts w:ascii="Times New Roman" w:hAnsi="Times New Roman" w:cs="Times New Roman"/>
          </w:rPr>
        </w:pPr>
        <w:r w:rsidRPr="00B6619C">
          <w:rPr>
            <w:rFonts w:ascii="Times New Roman" w:hAnsi="Times New Roman" w:cs="Times New Roman"/>
          </w:rPr>
          <w:fldChar w:fldCharType="begin"/>
        </w:r>
        <w:r w:rsidRPr="00B6619C">
          <w:rPr>
            <w:rFonts w:ascii="Times New Roman" w:hAnsi="Times New Roman" w:cs="Times New Roman"/>
          </w:rPr>
          <w:instrText>PAGE   \* MERGEFORMAT</w:instrText>
        </w:r>
        <w:r w:rsidRPr="00B6619C">
          <w:rPr>
            <w:rFonts w:ascii="Times New Roman" w:hAnsi="Times New Roman" w:cs="Times New Roman"/>
          </w:rPr>
          <w:fldChar w:fldCharType="separate"/>
        </w:r>
        <w:r w:rsidRPr="00B6619C">
          <w:rPr>
            <w:rFonts w:ascii="Times New Roman" w:hAnsi="Times New Roman" w:cs="Times New Roman"/>
          </w:rPr>
          <w:t>2</w:t>
        </w:r>
        <w:r w:rsidRPr="00B6619C">
          <w:rPr>
            <w:rFonts w:ascii="Times New Roman" w:hAnsi="Times New Roman" w:cs="Times New Roman"/>
          </w:rPr>
          <w:fldChar w:fldCharType="end"/>
        </w:r>
      </w:p>
    </w:sdtContent>
  </w:sdt>
  <w:p w14:paraId="37896C69" w14:textId="77777777" w:rsidR="008876FA" w:rsidRDefault="008876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F8F"/>
    <w:rsid w:val="00011861"/>
    <w:rsid w:val="00024B24"/>
    <w:rsid w:val="000263F5"/>
    <w:rsid w:val="0003759B"/>
    <w:rsid w:val="00053FF5"/>
    <w:rsid w:val="00062034"/>
    <w:rsid w:val="000801C6"/>
    <w:rsid w:val="0008510E"/>
    <w:rsid w:val="00091DD3"/>
    <w:rsid w:val="0009616F"/>
    <w:rsid w:val="000A006C"/>
    <w:rsid w:val="000A5F6D"/>
    <w:rsid w:val="000B16AA"/>
    <w:rsid w:val="000B4E0A"/>
    <w:rsid w:val="000E3E4E"/>
    <w:rsid w:val="00132070"/>
    <w:rsid w:val="00133F6A"/>
    <w:rsid w:val="00143A48"/>
    <w:rsid w:val="00173AE6"/>
    <w:rsid w:val="001A5171"/>
    <w:rsid w:val="001A6049"/>
    <w:rsid w:val="001A768E"/>
    <w:rsid w:val="002210A0"/>
    <w:rsid w:val="00237E29"/>
    <w:rsid w:val="00247D58"/>
    <w:rsid w:val="002604D3"/>
    <w:rsid w:val="00276A62"/>
    <w:rsid w:val="00283DA0"/>
    <w:rsid w:val="0029750B"/>
    <w:rsid w:val="00297B3D"/>
    <w:rsid w:val="002A6B38"/>
    <w:rsid w:val="002C576C"/>
    <w:rsid w:val="00331F67"/>
    <w:rsid w:val="00333586"/>
    <w:rsid w:val="003344C2"/>
    <w:rsid w:val="0037088B"/>
    <w:rsid w:val="00384F3C"/>
    <w:rsid w:val="003A2608"/>
    <w:rsid w:val="003B481B"/>
    <w:rsid w:val="003E6AEB"/>
    <w:rsid w:val="00416C8F"/>
    <w:rsid w:val="00445ABB"/>
    <w:rsid w:val="004553B1"/>
    <w:rsid w:val="004829C2"/>
    <w:rsid w:val="0049248A"/>
    <w:rsid w:val="004E4C74"/>
    <w:rsid w:val="00513C75"/>
    <w:rsid w:val="00596C45"/>
    <w:rsid w:val="005B3E28"/>
    <w:rsid w:val="005D3698"/>
    <w:rsid w:val="0060016E"/>
    <w:rsid w:val="00605E40"/>
    <w:rsid w:val="006206A4"/>
    <w:rsid w:val="00621A27"/>
    <w:rsid w:val="00631134"/>
    <w:rsid w:val="00631FC7"/>
    <w:rsid w:val="00632254"/>
    <w:rsid w:val="00642172"/>
    <w:rsid w:val="00666096"/>
    <w:rsid w:val="00675607"/>
    <w:rsid w:val="00715284"/>
    <w:rsid w:val="00756820"/>
    <w:rsid w:val="00760F3A"/>
    <w:rsid w:val="007617D1"/>
    <w:rsid w:val="00762371"/>
    <w:rsid w:val="00790CDB"/>
    <w:rsid w:val="007934D3"/>
    <w:rsid w:val="007E313B"/>
    <w:rsid w:val="007F30F4"/>
    <w:rsid w:val="008440F6"/>
    <w:rsid w:val="00873EFC"/>
    <w:rsid w:val="008876FA"/>
    <w:rsid w:val="00894D08"/>
    <w:rsid w:val="008B689B"/>
    <w:rsid w:val="00920831"/>
    <w:rsid w:val="00923591"/>
    <w:rsid w:val="00932A9B"/>
    <w:rsid w:val="00935F8F"/>
    <w:rsid w:val="0096166A"/>
    <w:rsid w:val="009B27BE"/>
    <w:rsid w:val="009D69BC"/>
    <w:rsid w:val="009E5DC5"/>
    <w:rsid w:val="009F378E"/>
    <w:rsid w:val="009F5508"/>
    <w:rsid w:val="00A0418B"/>
    <w:rsid w:val="00A30124"/>
    <w:rsid w:val="00A42788"/>
    <w:rsid w:val="00A97CC7"/>
    <w:rsid w:val="00AB5FAE"/>
    <w:rsid w:val="00B20594"/>
    <w:rsid w:val="00B239A5"/>
    <w:rsid w:val="00B62244"/>
    <w:rsid w:val="00B6619C"/>
    <w:rsid w:val="00B759B4"/>
    <w:rsid w:val="00B907B5"/>
    <w:rsid w:val="00B95DAB"/>
    <w:rsid w:val="00BA0600"/>
    <w:rsid w:val="00BA7741"/>
    <w:rsid w:val="00BC50EF"/>
    <w:rsid w:val="00BF0865"/>
    <w:rsid w:val="00C32202"/>
    <w:rsid w:val="00C85C34"/>
    <w:rsid w:val="00C94713"/>
    <w:rsid w:val="00CA28AB"/>
    <w:rsid w:val="00CC3AD1"/>
    <w:rsid w:val="00CD19F6"/>
    <w:rsid w:val="00CE3CB6"/>
    <w:rsid w:val="00D17D5D"/>
    <w:rsid w:val="00D508D3"/>
    <w:rsid w:val="00D77618"/>
    <w:rsid w:val="00D87979"/>
    <w:rsid w:val="00D9231D"/>
    <w:rsid w:val="00D96AFF"/>
    <w:rsid w:val="00DC09F3"/>
    <w:rsid w:val="00DD1BAA"/>
    <w:rsid w:val="00DE3D7E"/>
    <w:rsid w:val="00DE7367"/>
    <w:rsid w:val="00DF6BC0"/>
    <w:rsid w:val="00E04474"/>
    <w:rsid w:val="00E23DE3"/>
    <w:rsid w:val="00E253DA"/>
    <w:rsid w:val="00E4047C"/>
    <w:rsid w:val="00E42433"/>
    <w:rsid w:val="00E43385"/>
    <w:rsid w:val="00E53DE9"/>
    <w:rsid w:val="00E60064"/>
    <w:rsid w:val="00EA2F57"/>
    <w:rsid w:val="00EB261C"/>
    <w:rsid w:val="00EB5A4B"/>
    <w:rsid w:val="00EF330D"/>
    <w:rsid w:val="00F13D0C"/>
    <w:rsid w:val="00F158E1"/>
    <w:rsid w:val="00F33523"/>
    <w:rsid w:val="00F3759E"/>
    <w:rsid w:val="00F548B4"/>
    <w:rsid w:val="00F665C4"/>
    <w:rsid w:val="00FA4B91"/>
    <w:rsid w:val="00FE0AF8"/>
    <w:rsid w:val="00FF0EC0"/>
    <w:rsid w:val="00FF4B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C32BE9"/>
  <w15:chartTrackingRefBased/>
  <w15:docId w15:val="{FA640596-2F49-49CD-B859-2277B7A77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character" w:styleId="Hyperlink">
    <w:name w:val="Hyperlink"/>
    <w:basedOn w:val="DefaultParagraphFont"/>
    <w:uiPriority w:val="99"/>
    <w:unhideWhenUsed/>
    <w:rsid w:val="002604D3"/>
    <w:rPr>
      <w:color w:val="0563C1" w:themeColor="hyperlink"/>
      <w:u w:val="single"/>
    </w:rPr>
  </w:style>
  <w:style w:type="character" w:styleId="UnresolvedMention">
    <w:name w:val="Unresolved Mention"/>
    <w:basedOn w:val="DefaultParagraphFont"/>
    <w:uiPriority w:val="99"/>
    <w:semiHidden/>
    <w:unhideWhenUsed/>
    <w:rsid w:val="002604D3"/>
    <w:rPr>
      <w:color w:val="605E5C"/>
      <w:shd w:val="clear" w:color="auto" w:fill="E1DFDD"/>
    </w:rPr>
  </w:style>
  <w:style w:type="character" w:styleId="FollowedHyperlink">
    <w:name w:val="FollowedHyperlink"/>
    <w:basedOn w:val="DefaultParagraphFont"/>
    <w:uiPriority w:val="99"/>
    <w:semiHidden/>
    <w:unhideWhenUsed/>
    <w:rsid w:val="002604D3"/>
    <w:rPr>
      <w:color w:val="954F72" w:themeColor="followedHyperlink"/>
      <w:u w:val="single"/>
    </w:rPr>
  </w:style>
  <w:style w:type="table" w:styleId="TableGrid">
    <w:name w:val="Table Grid"/>
    <w:basedOn w:val="TableNormal"/>
    <w:uiPriority w:val="39"/>
    <w:rsid w:val="00632254"/>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32254"/>
    <w:rPr>
      <w:rFonts w:ascii="Segoe UI" w:hAnsi="Segoe UI" w:cs="Segoe UI" w:hint="default"/>
      <w:color w:val="333333"/>
      <w:sz w:val="18"/>
      <w:szCs w:val="18"/>
    </w:rPr>
  </w:style>
  <w:style w:type="character" w:customStyle="1" w:styleId="cf11">
    <w:name w:val="cf11"/>
    <w:basedOn w:val="DefaultParagraphFont"/>
    <w:rsid w:val="00632254"/>
    <w:rPr>
      <w:rFonts w:ascii="Segoe UI" w:hAnsi="Segoe UI" w:cs="Segoe UI" w:hint="default"/>
      <w:color w:val="333333"/>
      <w:sz w:val="18"/>
      <w:szCs w:val="18"/>
      <w:shd w:val="clear" w:color="auto" w:fill="FFFFFF"/>
    </w:rPr>
  </w:style>
  <w:style w:type="paragraph" w:styleId="ListParagraph">
    <w:name w:val="List Paragraph"/>
    <w:basedOn w:val="Normal"/>
    <w:uiPriority w:val="34"/>
    <w:qFormat/>
    <w:rsid w:val="00D9231D"/>
    <w:pPr>
      <w:ind w:left="720"/>
      <w:contextualSpacing/>
    </w:pPr>
  </w:style>
  <w:style w:type="paragraph" w:styleId="Revision">
    <w:name w:val="Revision"/>
    <w:hidden/>
    <w:uiPriority w:val="99"/>
    <w:semiHidden/>
    <w:rsid w:val="00237E29"/>
    <w:pPr>
      <w:spacing w:after="0" w:line="240" w:lineRule="auto"/>
    </w:pPr>
  </w:style>
  <w:style w:type="character" w:styleId="CommentReference">
    <w:name w:val="annotation reference"/>
    <w:basedOn w:val="DefaultParagraphFont"/>
    <w:uiPriority w:val="99"/>
    <w:semiHidden/>
    <w:unhideWhenUsed/>
    <w:rsid w:val="0029750B"/>
    <w:rPr>
      <w:sz w:val="16"/>
      <w:szCs w:val="16"/>
    </w:rPr>
  </w:style>
  <w:style w:type="paragraph" w:styleId="CommentText">
    <w:name w:val="annotation text"/>
    <w:basedOn w:val="Normal"/>
    <w:link w:val="CommentTextChar"/>
    <w:uiPriority w:val="99"/>
    <w:unhideWhenUsed/>
    <w:rsid w:val="0029750B"/>
    <w:pPr>
      <w:spacing w:line="240" w:lineRule="auto"/>
    </w:pPr>
    <w:rPr>
      <w:sz w:val="20"/>
      <w:szCs w:val="20"/>
    </w:rPr>
  </w:style>
  <w:style w:type="character" w:customStyle="1" w:styleId="CommentTextChar">
    <w:name w:val="Comment Text Char"/>
    <w:basedOn w:val="DefaultParagraphFont"/>
    <w:link w:val="CommentText"/>
    <w:uiPriority w:val="99"/>
    <w:rsid w:val="0029750B"/>
    <w:rPr>
      <w:sz w:val="20"/>
      <w:szCs w:val="20"/>
    </w:rPr>
  </w:style>
  <w:style w:type="paragraph" w:styleId="CommentSubject">
    <w:name w:val="annotation subject"/>
    <w:basedOn w:val="CommentText"/>
    <w:next w:val="CommentText"/>
    <w:link w:val="CommentSubjectChar"/>
    <w:uiPriority w:val="99"/>
    <w:semiHidden/>
    <w:unhideWhenUsed/>
    <w:rsid w:val="0029750B"/>
    <w:rPr>
      <w:b/>
      <w:bCs/>
    </w:rPr>
  </w:style>
  <w:style w:type="character" w:customStyle="1" w:styleId="CommentSubjectChar">
    <w:name w:val="Comment Subject Char"/>
    <w:basedOn w:val="CommentTextChar"/>
    <w:link w:val="CommentSubject"/>
    <w:uiPriority w:val="99"/>
    <w:semiHidden/>
    <w:rsid w:val="002975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ur-lex.europa.eu/legal-content/LV/TXT/?uri=CELEX%3A32017R0565"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eur-lex.europa.eu/legal-content/LV/TXT/?uri=CELEX%3A32014L0065"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ikumi.lv/ta/id/316319-normativie-noteikumi-par-darbinieku-zinasanu-un-kompetences-izvertesanu" TargetMode="External"/><Relationship Id="rId24" Type="http://schemas.openxmlformats.org/officeDocument/2006/relationships/footer" Target="footer5.xml"/><Relationship Id="rId5" Type="http://schemas.openxmlformats.org/officeDocument/2006/relationships/styles" Target="styles.xml"/><Relationship Id="rId15" Type="http://schemas.openxmlformats.org/officeDocument/2006/relationships/hyperlink" Target="https://www.esma.europa.eu/sites/default/files/2023-04/ESMA35-43-3172_Guidelines_on_certain_aspects_of_the_MiFID_II_suitability_requirements_LV.pdf" TargetMode="External"/><Relationship Id="rId23" Type="http://schemas.openxmlformats.org/officeDocument/2006/relationships/footer" Target="footer4.xml"/><Relationship Id="rId10" Type="http://schemas.openxmlformats.org/officeDocument/2006/relationships/hyperlink" Target="https://likumi.lv/ta/id/81995-finansu-instrumentu-tirgus-likums" TargetMode="Externa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esma.europa.eu/sites/default/files/library/2015-1886_lv.pdf" TargetMode="External"/><Relationship Id="rId22"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ANA_ANOTACIJA.dotx</Template>
  <TotalTime>79</TotalTime>
  <Pages>6</Pages>
  <Words>2016</Words>
  <Characters>11494</Characters>
  <Application>Microsoft Office Word</Application>
  <DocSecurity>0</DocSecurity>
  <Lines>95</Lines>
  <Paragraphs>26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Jeļena Aleksejeva</dc:creator>
  <cp:keywords/>
  <dc:description/>
  <cp:lastModifiedBy>Jeļena Aleksejeva</cp:lastModifiedBy>
  <cp:revision>11</cp:revision>
  <dcterms:created xsi:type="dcterms:W3CDTF">2024-06-06T13:14:00Z</dcterms:created>
  <dcterms:modified xsi:type="dcterms:W3CDTF">2024-07-03T08:57:00Z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