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7508E" w14:textId="4E4DDFBF"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1F3BDD">
        <w:rPr>
          <w:rFonts w:ascii="Times New Roman" w:hAnsi="Times New Roman" w:cs="Times New Roman"/>
          <w:b/>
          <w:bCs/>
          <w:sz w:val="24"/>
          <w:szCs w:val="24"/>
        </w:rPr>
        <w:t>"</w:t>
      </w:r>
      <w:r w:rsidR="007678C9">
        <w:rPr>
          <w:rFonts w:ascii="Times New Roman" w:hAnsi="Times New Roman" w:cs="Times New Roman"/>
          <w:b/>
          <w:bCs/>
          <w:sz w:val="24"/>
          <w:szCs w:val="24"/>
        </w:rPr>
        <w:t>Kredītiestāžu l</w:t>
      </w:r>
      <w:r w:rsidR="00AD0E9E" w:rsidRPr="00AD0E9E">
        <w:rPr>
          <w:rFonts w:ascii="Times New Roman" w:hAnsi="Times New Roman" w:cs="Times New Roman"/>
          <w:b/>
          <w:bCs/>
          <w:sz w:val="24"/>
          <w:szCs w:val="24"/>
        </w:rPr>
        <w:t>ikviditātes riska pārvaldīšanas un likviditātes pietiekamības novērtēšanas procesa noteikumi</w:t>
      </w:r>
      <w:r w:rsidR="001F3BDD">
        <w:rPr>
          <w:rFonts w:ascii="Times New Roman" w:hAnsi="Times New Roman" w:cs="Times New Roman"/>
          <w:b/>
          <w:bCs/>
          <w:sz w:val="24"/>
          <w:szCs w:val="24"/>
        </w:rPr>
        <w:t>"</w:t>
      </w:r>
      <w:r w:rsidR="003B481B" w:rsidRPr="00CA28AB">
        <w:rPr>
          <w:rFonts w:ascii="Times New Roman" w:hAnsi="Times New Roman" w:cs="Times New Roman"/>
          <w:b/>
          <w:bCs/>
          <w:sz w:val="24"/>
          <w:szCs w:val="24"/>
        </w:rPr>
        <w:t xml:space="preserve"> anotācija</w:t>
      </w:r>
    </w:p>
    <w:p w14:paraId="1F3A3998" w14:textId="77777777" w:rsidR="003B481B" w:rsidRPr="000B4E0A" w:rsidRDefault="003B481B" w:rsidP="0049248A">
      <w:pPr>
        <w:spacing w:after="0" w:line="240" w:lineRule="auto"/>
        <w:rPr>
          <w:rFonts w:ascii="Times New Roman" w:hAnsi="Times New Roman" w:cs="Times New Roman"/>
          <w:sz w:val="24"/>
          <w:szCs w:val="24"/>
        </w:rPr>
      </w:pPr>
    </w:p>
    <w:p w14:paraId="17C0462D"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802"/>
      </w:tblGrid>
      <w:tr w:rsidR="000B4E0A" w:rsidRPr="000B4E0A" w14:paraId="1B283FB8" w14:textId="77777777" w:rsidTr="00A00DBA">
        <w:trPr>
          <w:trHeight w:val="567"/>
        </w:trPr>
        <w:tc>
          <w:tcPr>
            <w:tcW w:w="1248" w:type="pct"/>
            <w:shd w:val="clear" w:color="auto" w:fill="auto"/>
            <w:hideMark/>
          </w:tcPr>
          <w:p w14:paraId="4650EA8A"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94280D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775536E7" w14:textId="69861F1B" w:rsidR="00E53DE9" w:rsidRPr="00AB107B" w:rsidRDefault="007678C9" w:rsidP="002D54F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Kredītiestāžu l</w:t>
            </w:r>
            <w:r w:rsidR="00B041A2" w:rsidRPr="00B041A2">
              <w:rPr>
                <w:rFonts w:ascii="Times New Roman" w:eastAsia="Times New Roman" w:hAnsi="Times New Roman" w:cs="Times New Roman"/>
                <w:sz w:val="24"/>
                <w:szCs w:val="24"/>
                <w:lang w:eastAsia="lv-LV"/>
              </w:rPr>
              <w:t>ikviditātes riska pārvaldīšanas un likviditātes pietiekamības novērtēšanas procesa noteikumi</w:t>
            </w:r>
            <w:r w:rsidR="00B041A2" w:rsidRPr="00B041A2" w:rsidDel="00B041A2">
              <w:rPr>
                <w:rFonts w:ascii="Times New Roman" w:eastAsia="Times New Roman" w:hAnsi="Times New Roman" w:cs="Times New Roman"/>
                <w:sz w:val="24"/>
                <w:szCs w:val="24"/>
                <w:lang w:eastAsia="lv-LV"/>
              </w:rPr>
              <w:t xml:space="preserve"> </w:t>
            </w:r>
          </w:p>
        </w:tc>
      </w:tr>
      <w:tr w:rsidR="00AB107B" w:rsidRPr="000B4E0A" w14:paraId="39384EAA" w14:textId="77777777" w:rsidTr="00A00DBA">
        <w:trPr>
          <w:trHeight w:val="567"/>
        </w:trPr>
        <w:tc>
          <w:tcPr>
            <w:tcW w:w="1248" w:type="pct"/>
            <w:shd w:val="clear" w:color="auto" w:fill="auto"/>
            <w:hideMark/>
          </w:tcPr>
          <w:p w14:paraId="00265ED7" w14:textId="0E8A7A78" w:rsidR="00AB107B" w:rsidRPr="00E253DA" w:rsidRDefault="00AB107B" w:rsidP="00AB107B">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tc>
        <w:tc>
          <w:tcPr>
            <w:tcW w:w="3752" w:type="pct"/>
            <w:shd w:val="clear" w:color="auto" w:fill="auto"/>
          </w:tcPr>
          <w:p w14:paraId="5B1113FA" w14:textId="1FA274A1" w:rsidR="00AB107B" w:rsidRPr="00AB107B" w:rsidRDefault="00AB107B" w:rsidP="002D54F5">
            <w:pPr>
              <w:spacing w:after="120" w:line="240" w:lineRule="auto"/>
              <w:jc w:val="both"/>
              <w:rPr>
                <w:rFonts w:ascii="Times New Roman" w:eastAsia="Times New Roman" w:hAnsi="Times New Roman" w:cs="Times New Roman"/>
                <w:sz w:val="24"/>
                <w:szCs w:val="24"/>
                <w:lang w:eastAsia="lv-LV"/>
              </w:rPr>
            </w:pPr>
            <w:r w:rsidRPr="00AB107B">
              <w:rPr>
                <w:rFonts w:ascii="Times New Roman" w:hAnsi="Times New Roman" w:cs="Times New Roman"/>
                <w:sz w:val="24"/>
                <w:szCs w:val="24"/>
              </w:rPr>
              <w:t>Latvijas Bankas noteikumi</w:t>
            </w:r>
          </w:p>
        </w:tc>
      </w:tr>
      <w:tr w:rsidR="00AB107B" w:rsidRPr="000B4E0A" w14:paraId="035D2BE3" w14:textId="77777777" w:rsidTr="00A00DBA">
        <w:trPr>
          <w:trHeight w:val="567"/>
        </w:trPr>
        <w:tc>
          <w:tcPr>
            <w:tcW w:w="1248" w:type="pct"/>
            <w:shd w:val="clear" w:color="auto" w:fill="auto"/>
            <w:hideMark/>
          </w:tcPr>
          <w:p w14:paraId="402EA6C0" w14:textId="77777777" w:rsidR="00AB107B" w:rsidRPr="00E253DA" w:rsidRDefault="00AB107B" w:rsidP="00AB107B">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58BFE92B" w14:textId="77777777" w:rsidR="00AB107B" w:rsidRPr="00E253DA" w:rsidRDefault="00AB107B" w:rsidP="00AB107B">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5560F328" w14:textId="3EC35030" w:rsidR="000308E6" w:rsidRPr="00AB107B" w:rsidRDefault="00AB107B" w:rsidP="00CC7E25">
            <w:pPr>
              <w:spacing w:after="120" w:line="240" w:lineRule="auto"/>
              <w:jc w:val="both"/>
              <w:rPr>
                <w:rFonts w:ascii="Times New Roman" w:eastAsia="Times New Roman" w:hAnsi="Times New Roman" w:cs="Times New Roman"/>
                <w:sz w:val="24"/>
                <w:szCs w:val="24"/>
                <w:lang w:eastAsia="lv-LV"/>
              </w:rPr>
            </w:pPr>
            <w:r w:rsidRPr="00AB107B">
              <w:rPr>
                <w:rFonts w:ascii="Times New Roman" w:hAnsi="Times New Roman" w:cs="Times New Roman"/>
                <w:sz w:val="24"/>
                <w:szCs w:val="24"/>
              </w:rPr>
              <w:t xml:space="preserve">Kredītiestāžu likuma </w:t>
            </w:r>
            <w:r w:rsidR="00F20736">
              <w:rPr>
                <w:rFonts w:ascii="Times New Roman" w:hAnsi="Times New Roman" w:cs="Times New Roman"/>
                <w:sz w:val="24"/>
                <w:szCs w:val="24"/>
              </w:rPr>
              <w:t>37</w:t>
            </w:r>
            <w:r w:rsidRPr="00AB107B">
              <w:rPr>
                <w:rFonts w:ascii="Times New Roman" w:hAnsi="Times New Roman" w:cs="Times New Roman"/>
                <w:sz w:val="24"/>
                <w:szCs w:val="24"/>
              </w:rPr>
              <w:t>.</w:t>
            </w:r>
            <w:r w:rsidR="001F3BDD">
              <w:rPr>
                <w:rFonts w:ascii="Times New Roman" w:hAnsi="Times New Roman" w:cs="Times New Roman"/>
                <w:sz w:val="24"/>
                <w:szCs w:val="24"/>
              </w:rPr>
              <w:t> </w:t>
            </w:r>
            <w:r w:rsidRPr="00AB107B">
              <w:rPr>
                <w:rFonts w:ascii="Times New Roman" w:hAnsi="Times New Roman" w:cs="Times New Roman"/>
                <w:sz w:val="24"/>
                <w:szCs w:val="24"/>
              </w:rPr>
              <w:t xml:space="preserve">panta </w:t>
            </w:r>
            <w:r w:rsidR="00F20736">
              <w:rPr>
                <w:rFonts w:ascii="Times New Roman" w:hAnsi="Times New Roman" w:cs="Times New Roman"/>
                <w:sz w:val="24"/>
                <w:szCs w:val="24"/>
              </w:rPr>
              <w:t>otr</w:t>
            </w:r>
            <w:r w:rsidR="000308E6">
              <w:rPr>
                <w:rFonts w:ascii="Times New Roman" w:hAnsi="Times New Roman" w:cs="Times New Roman"/>
                <w:sz w:val="24"/>
                <w:szCs w:val="24"/>
              </w:rPr>
              <w:t>ā</w:t>
            </w:r>
            <w:r w:rsidRPr="00AB107B">
              <w:rPr>
                <w:rFonts w:ascii="Times New Roman" w:hAnsi="Times New Roman" w:cs="Times New Roman"/>
                <w:sz w:val="24"/>
                <w:szCs w:val="24"/>
              </w:rPr>
              <w:t xml:space="preserve"> daļ</w:t>
            </w:r>
            <w:r w:rsidR="000308E6">
              <w:rPr>
                <w:rFonts w:ascii="Times New Roman" w:hAnsi="Times New Roman" w:cs="Times New Roman"/>
                <w:sz w:val="24"/>
                <w:szCs w:val="24"/>
              </w:rPr>
              <w:t>a</w:t>
            </w:r>
            <w:r w:rsidR="00A44EB3">
              <w:rPr>
                <w:rFonts w:ascii="Times New Roman" w:hAnsi="Times New Roman" w:cs="Times New Roman"/>
                <w:sz w:val="24"/>
                <w:szCs w:val="24"/>
              </w:rPr>
              <w:t xml:space="preserve"> un </w:t>
            </w:r>
            <w:r w:rsidR="00A44EB3" w:rsidRPr="00097BDE">
              <w:rPr>
                <w:rFonts w:ascii="Times New Roman" w:hAnsi="Times New Roman" w:cs="Times New Roman"/>
                <w:sz w:val="24"/>
                <w:szCs w:val="24"/>
              </w:rPr>
              <w:t>50. panta otrā un trešā daļa</w:t>
            </w:r>
            <w:r w:rsidR="00CC7E25">
              <w:rPr>
                <w:rFonts w:ascii="Times New Roman" w:hAnsi="Times New Roman" w:cs="Times New Roman"/>
                <w:sz w:val="24"/>
                <w:szCs w:val="24"/>
              </w:rPr>
              <w:t xml:space="preserve"> un </w:t>
            </w:r>
            <w:r w:rsidR="000308E6">
              <w:rPr>
                <w:rFonts w:ascii="Times New Roman" w:eastAsia="Times New Roman" w:hAnsi="Times New Roman" w:cs="Times New Roman"/>
                <w:sz w:val="24"/>
                <w:szCs w:val="24"/>
                <w:lang w:eastAsia="lv-LV"/>
              </w:rPr>
              <w:t>Latvijas Bankas likuma pārejas noteikumu 3. punkts</w:t>
            </w:r>
          </w:p>
        </w:tc>
      </w:tr>
      <w:tr w:rsidR="000B4E0A" w:rsidRPr="000B4E0A" w14:paraId="2D46A2F5" w14:textId="77777777" w:rsidTr="00A00DBA">
        <w:trPr>
          <w:trHeight w:val="567"/>
        </w:trPr>
        <w:tc>
          <w:tcPr>
            <w:tcW w:w="1248" w:type="pct"/>
            <w:shd w:val="clear" w:color="auto" w:fill="auto"/>
            <w:hideMark/>
          </w:tcPr>
          <w:p w14:paraId="28695B9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CEB653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3F37328" w14:textId="77777777" w:rsidR="00CE174C" w:rsidRPr="002C12BF" w:rsidRDefault="00CE174C" w:rsidP="00677613">
            <w:pPr>
              <w:spacing w:after="120" w:line="240" w:lineRule="auto"/>
              <w:jc w:val="both"/>
              <w:rPr>
                <w:rFonts w:ascii="Times New Roman" w:hAnsi="Times New Roman" w:cs="Times New Roman"/>
                <w:sz w:val="24"/>
                <w:szCs w:val="24"/>
              </w:rPr>
            </w:pPr>
            <w:r w:rsidRPr="002C12BF">
              <w:rPr>
                <w:rFonts w:ascii="Times New Roman" w:hAnsi="Times New Roman" w:cs="Times New Roman"/>
                <w:sz w:val="24"/>
                <w:szCs w:val="24"/>
              </w:rPr>
              <w:t>Saskaņā ar Latvijas Bankas likuma pārejas noteikumu 3.</w:t>
            </w:r>
            <w:r>
              <w:rPr>
                <w:rFonts w:ascii="Times New Roman" w:hAnsi="Times New Roman" w:cs="Times New Roman"/>
                <w:sz w:val="24"/>
                <w:szCs w:val="24"/>
              </w:rPr>
              <w:t> </w:t>
            </w:r>
            <w:r w:rsidRPr="002C12BF">
              <w:rPr>
                <w:rFonts w:ascii="Times New Roman" w:hAnsi="Times New Roman" w:cs="Times New Roman"/>
                <w:sz w:val="24"/>
                <w:szCs w:val="24"/>
              </w:rPr>
              <w:t>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w:t>
            </w:r>
            <w:r>
              <w:rPr>
                <w:rFonts w:ascii="Times New Roman" w:hAnsi="Times New Roman" w:cs="Times New Roman"/>
                <w:sz w:val="24"/>
                <w:szCs w:val="24"/>
              </w:rPr>
              <w:t> </w:t>
            </w:r>
            <w:r w:rsidRPr="002C12BF">
              <w:rPr>
                <w:rFonts w:ascii="Times New Roman" w:hAnsi="Times New Roman" w:cs="Times New Roman"/>
                <w:sz w:val="24"/>
                <w:szCs w:val="24"/>
              </w:rPr>
              <w:t>gada 31.</w:t>
            </w:r>
            <w:r>
              <w:rPr>
                <w:rFonts w:ascii="Times New Roman" w:hAnsi="Times New Roman" w:cs="Times New Roman"/>
                <w:sz w:val="24"/>
                <w:szCs w:val="24"/>
              </w:rPr>
              <w:t> </w:t>
            </w:r>
            <w:r w:rsidRPr="002C12BF">
              <w:rPr>
                <w:rFonts w:ascii="Times New Roman" w:hAnsi="Times New Roman" w:cs="Times New Roman"/>
                <w:sz w:val="24"/>
                <w:szCs w:val="24"/>
              </w:rPr>
              <w:t>decembrim.</w:t>
            </w:r>
          </w:p>
          <w:p w14:paraId="74304C11" w14:textId="4A0078B9" w:rsidR="005C4BE1" w:rsidRDefault="00CE174C" w:rsidP="00677613">
            <w:pPr>
              <w:spacing w:after="120" w:line="240" w:lineRule="auto"/>
              <w:jc w:val="both"/>
              <w:rPr>
                <w:rFonts w:ascii="Times New Roman" w:hAnsi="Times New Roman" w:cs="Times New Roman"/>
                <w:sz w:val="24"/>
                <w:szCs w:val="24"/>
              </w:rPr>
            </w:pPr>
            <w:r w:rsidRPr="002C12BF">
              <w:rPr>
                <w:rFonts w:ascii="Times New Roman" w:hAnsi="Times New Roman" w:cs="Times New Roman"/>
                <w:sz w:val="24"/>
                <w:szCs w:val="24"/>
              </w:rPr>
              <w:t>Ņemot vērā minēto, Latvijas Banka ir izstrādājusi noteikumu projektu "</w:t>
            </w:r>
            <w:r w:rsidR="007678C9">
              <w:rPr>
                <w:rFonts w:ascii="Times New Roman" w:hAnsi="Times New Roman" w:cs="Times New Roman"/>
                <w:sz w:val="24"/>
                <w:szCs w:val="24"/>
              </w:rPr>
              <w:t>Kredītiestāžu l</w:t>
            </w:r>
            <w:r w:rsidR="0097774C" w:rsidRPr="00B041A2">
              <w:rPr>
                <w:rFonts w:ascii="Times New Roman" w:eastAsia="Times New Roman" w:hAnsi="Times New Roman" w:cs="Times New Roman"/>
                <w:sz w:val="24"/>
                <w:szCs w:val="24"/>
                <w:lang w:eastAsia="lv-LV"/>
              </w:rPr>
              <w:t>ikviditātes riska pārvaldīšanas un likviditātes pietiekamības novērtēšanas procesa noteikumi</w:t>
            </w:r>
            <w:r w:rsidRPr="002C12BF">
              <w:rPr>
                <w:rFonts w:ascii="Times New Roman" w:hAnsi="Times New Roman" w:cs="Times New Roman"/>
                <w:sz w:val="24"/>
                <w:szCs w:val="24"/>
              </w:rPr>
              <w:t>" (turpmāk</w:t>
            </w:r>
            <w:r>
              <w:rPr>
                <w:rFonts w:ascii="Times New Roman" w:hAnsi="Times New Roman" w:cs="Times New Roman"/>
                <w:sz w:val="24"/>
                <w:szCs w:val="24"/>
              </w:rPr>
              <w:t> </w:t>
            </w:r>
            <w:r w:rsidRPr="002C12BF">
              <w:rPr>
                <w:rFonts w:ascii="Times New Roman" w:hAnsi="Times New Roman" w:cs="Times New Roman"/>
                <w:sz w:val="24"/>
                <w:szCs w:val="24"/>
              </w:rPr>
              <w:t xml:space="preserve">– </w:t>
            </w:r>
            <w:r w:rsidR="00602FE5">
              <w:rPr>
                <w:rFonts w:ascii="Times New Roman" w:hAnsi="Times New Roman" w:cs="Times New Roman"/>
                <w:sz w:val="24"/>
                <w:szCs w:val="24"/>
              </w:rPr>
              <w:t>N</w:t>
            </w:r>
            <w:r w:rsidRPr="002C12BF">
              <w:rPr>
                <w:rFonts w:ascii="Times New Roman" w:hAnsi="Times New Roman" w:cs="Times New Roman"/>
                <w:sz w:val="24"/>
                <w:szCs w:val="24"/>
              </w:rPr>
              <w:t>oteikumu projekts), kas aizstās</w:t>
            </w:r>
            <w:r w:rsidR="005C4BE1">
              <w:rPr>
                <w:rFonts w:ascii="Times New Roman" w:hAnsi="Times New Roman" w:cs="Times New Roman"/>
                <w:sz w:val="24"/>
                <w:szCs w:val="24"/>
              </w:rPr>
              <w:t>:</w:t>
            </w:r>
          </w:p>
          <w:p w14:paraId="27C1AC1C" w14:textId="7F19BF79" w:rsidR="005C4BE1" w:rsidRDefault="005C4BE1" w:rsidP="00677613">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1) </w:t>
            </w:r>
            <w:r w:rsidR="00CE174C" w:rsidRPr="00856F8D">
              <w:rPr>
                <w:rFonts w:ascii="Times New Roman" w:hAnsi="Times New Roman" w:cs="Times New Roman"/>
                <w:sz w:val="24"/>
                <w:szCs w:val="24"/>
              </w:rPr>
              <w:t xml:space="preserve">Finanšu un kapitāla tirgus komisijas </w:t>
            </w:r>
            <w:r w:rsidR="0097774C">
              <w:rPr>
                <w:rFonts w:ascii="Times New Roman" w:eastAsia="Times New Roman" w:hAnsi="Times New Roman" w:cs="Times New Roman"/>
                <w:sz w:val="24"/>
                <w:szCs w:val="24"/>
                <w:lang w:eastAsia="lv-LV"/>
              </w:rPr>
              <w:t xml:space="preserve">2020. gada 10. novembra </w:t>
            </w:r>
            <w:r w:rsidR="0097774C" w:rsidRPr="001E55E4">
              <w:rPr>
                <w:rFonts w:ascii="Times New Roman" w:eastAsia="Times New Roman" w:hAnsi="Times New Roman" w:cs="Times New Roman"/>
                <w:sz w:val="24"/>
                <w:szCs w:val="24"/>
                <w:lang w:eastAsia="lv-LV"/>
              </w:rPr>
              <w:t>normatīvos noteikum</w:t>
            </w:r>
            <w:r w:rsidR="00B803E7">
              <w:rPr>
                <w:rFonts w:ascii="Times New Roman" w:eastAsia="Times New Roman" w:hAnsi="Times New Roman" w:cs="Times New Roman"/>
                <w:sz w:val="24"/>
                <w:szCs w:val="24"/>
                <w:lang w:eastAsia="lv-LV"/>
              </w:rPr>
              <w:t>u</w:t>
            </w:r>
            <w:r w:rsidR="0097774C" w:rsidRPr="001E55E4">
              <w:rPr>
                <w:rFonts w:ascii="Times New Roman" w:eastAsia="Times New Roman" w:hAnsi="Times New Roman" w:cs="Times New Roman"/>
                <w:sz w:val="24"/>
                <w:szCs w:val="24"/>
                <w:lang w:eastAsia="lv-LV"/>
              </w:rPr>
              <w:t>s Nr.</w:t>
            </w:r>
            <w:r w:rsidR="0097774C">
              <w:rPr>
                <w:rFonts w:ascii="Times New Roman" w:eastAsia="Times New Roman" w:hAnsi="Times New Roman" w:cs="Times New Roman"/>
                <w:sz w:val="24"/>
                <w:szCs w:val="24"/>
                <w:lang w:eastAsia="lv-LV"/>
              </w:rPr>
              <w:t> </w:t>
            </w:r>
            <w:r w:rsidR="0097774C" w:rsidRPr="001E55E4">
              <w:rPr>
                <w:rFonts w:ascii="Times New Roman" w:eastAsia="Times New Roman" w:hAnsi="Times New Roman" w:cs="Times New Roman"/>
                <w:sz w:val="24"/>
                <w:szCs w:val="24"/>
                <w:lang w:eastAsia="lv-LV"/>
              </w:rPr>
              <w:t>2</w:t>
            </w:r>
            <w:r w:rsidR="0097774C">
              <w:rPr>
                <w:rFonts w:ascii="Times New Roman" w:eastAsia="Times New Roman" w:hAnsi="Times New Roman" w:cs="Times New Roman"/>
                <w:sz w:val="24"/>
                <w:szCs w:val="24"/>
                <w:lang w:eastAsia="lv-LV"/>
              </w:rPr>
              <w:t xml:space="preserve">18 </w:t>
            </w:r>
            <w:r w:rsidR="0097774C" w:rsidRPr="006E4B12">
              <w:rPr>
                <w:rFonts w:ascii="Times New Roman" w:eastAsia="Times New Roman" w:hAnsi="Times New Roman" w:cs="Times New Roman"/>
                <w:sz w:val="24"/>
                <w:szCs w:val="24"/>
                <w:lang w:eastAsia="lv-LV"/>
              </w:rPr>
              <w:t>"Likviditātes prasību, to izpildes kārtības un likviditātes riska pārvaldīšanas normatīvie noteikumi" (turpmāk</w:t>
            </w:r>
            <w:r w:rsidR="0097774C">
              <w:rPr>
                <w:rFonts w:ascii="Times New Roman" w:eastAsia="Times New Roman" w:hAnsi="Times New Roman" w:cs="Times New Roman"/>
                <w:sz w:val="24"/>
                <w:szCs w:val="24"/>
                <w:lang w:eastAsia="lv-LV"/>
              </w:rPr>
              <w:t> </w:t>
            </w:r>
            <w:r w:rsidR="0097774C" w:rsidRPr="006E4B12">
              <w:rPr>
                <w:rFonts w:ascii="Times New Roman" w:eastAsia="Times New Roman" w:hAnsi="Times New Roman" w:cs="Times New Roman"/>
                <w:sz w:val="24"/>
                <w:szCs w:val="24"/>
                <w:lang w:eastAsia="lv-LV"/>
              </w:rPr>
              <w:t xml:space="preserve">– </w:t>
            </w:r>
            <w:r w:rsidR="0097774C">
              <w:rPr>
                <w:rFonts w:ascii="Times New Roman" w:eastAsia="Times New Roman" w:hAnsi="Times New Roman" w:cs="Times New Roman"/>
                <w:sz w:val="24"/>
                <w:szCs w:val="24"/>
                <w:lang w:eastAsia="lv-LV"/>
              </w:rPr>
              <w:t>N</w:t>
            </w:r>
            <w:r w:rsidR="0097774C" w:rsidRPr="006E4B12">
              <w:rPr>
                <w:rFonts w:ascii="Times New Roman" w:eastAsia="Times New Roman" w:hAnsi="Times New Roman" w:cs="Times New Roman"/>
                <w:sz w:val="24"/>
                <w:szCs w:val="24"/>
                <w:lang w:eastAsia="lv-LV"/>
              </w:rPr>
              <w:t>oteikum</w:t>
            </w:r>
            <w:r w:rsidR="0097774C">
              <w:rPr>
                <w:rFonts w:ascii="Times New Roman" w:eastAsia="Times New Roman" w:hAnsi="Times New Roman" w:cs="Times New Roman"/>
                <w:sz w:val="24"/>
                <w:szCs w:val="24"/>
                <w:lang w:eastAsia="lv-LV"/>
              </w:rPr>
              <w:t>i</w:t>
            </w:r>
            <w:r w:rsidR="0097774C" w:rsidRPr="006E4B12">
              <w:rPr>
                <w:rFonts w:ascii="Times New Roman" w:eastAsia="Times New Roman" w:hAnsi="Times New Roman" w:cs="Times New Roman"/>
                <w:sz w:val="24"/>
                <w:szCs w:val="24"/>
                <w:lang w:eastAsia="lv-LV"/>
              </w:rPr>
              <w:t xml:space="preserve"> Nr.</w:t>
            </w:r>
            <w:r w:rsidR="0097774C">
              <w:rPr>
                <w:rFonts w:ascii="Times New Roman" w:eastAsia="Times New Roman" w:hAnsi="Times New Roman" w:cs="Times New Roman"/>
                <w:sz w:val="24"/>
                <w:szCs w:val="24"/>
                <w:lang w:eastAsia="lv-LV"/>
              </w:rPr>
              <w:t> </w:t>
            </w:r>
            <w:r w:rsidR="0097774C" w:rsidRPr="00C1503D">
              <w:rPr>
                <w:rFonts w:ascii="Times New Roman" w:eastAsia="Times New Roman" w:hAnsi="Times New Roman" w:cs="Times New Roman"/>
                <w:sz w:val="24"/>
                <w:szCs w:val="24"/>
                <w:lang w:eastAsia="lv-LV"/>
              </w:rPr>
              <w:t>218</w:t>
            </w:r>
            <w:r w:rsidR="0097774C">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1FD09408" w14:textId="25D88E73" w:rsidR="00CE174C" w:rsidRDefault="005C4BE1" w:rsidP="00677613">
            <w:pPr>
              <w:spacing w:after="12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2)</w:t>
            </w:r>
            <w:r w:rsidR="005C63CD">
              <w:rPr>
                <w:rFonts w:ascii="Times New Roman" w:eastAsia="Times New Roman" w:hAnsi="Times New Roman" w:cs="Times New Roman"/>
                <w:sz w:val="24"/>
                <w:szCs w:val="24"/>
                <w:lang w:eastAsia="lv-LV"/>
              </w:rPr>
              <w:t xml:space="preserve"> </w:t>
            </w:r>
            <w:r w:rsidR="009269B6" w:rsidRPr="00B041A2">
              <w:rPr>
                <w:rFonts w:ascii="Times New Roman" w:eastAsia="Times New Roman" w:hAnsi="Times New Roman" w:cs="Times New Roman"/>
                <w:sz w:val="24"/>
                <w:szCs w:val="24"/>
                <w:lang w:eastAsia="lv-LV"/>
              </w:rPr>
              <w:t xml:space="preserve">likviditātes pietiekamības novērtēšanas procesa izveides, īstenošanas un informācijas sagatavošanas un iesniegšanas </w:t>
            </w:r>
            <w:r w:rsidR="009269B6">
              <w:rPr>
                <w:rFonts w:ascii="Times New Roman" w:eastAsia="Times New Roman" w:hAnsi="Times New Roman" w:cs="Times New Roman"/>
                <w:sz w:val="24"/>
                <w:szCs w:val="24"/>
                <w:lang w:eastAsia="lv-LV"/>
              </w:rPr>
              <w:t>prasības, kas</w:t>
            </w:r>
            <w:r w:rsidR="001057CE">
              <w:rPr>
                <w:rFonts w:ascii="Times New Roman" w:eastAsia="Times New Roman" w:hAnsi="Times New Roman" w:cs="Times New Roman"/>
                <w:sz w:val="24"/>
                <w:szCs w:val="24"/>
                <w:lang w:eastAsia="lv-LV"/>
              </w:rPr>
              <w:t xml:space="preserve"> šobrīd ir </w:t>
            </w:r>
            <w:r w:rsidR="00AC3188">
              <w:rPr>
                <w:rFonts w:ascii="Times New Roman" w:eastAsia="Times New Roman" w:hAnsi="Times New Roman" w:cs="Times New Roman"/>
                <w:sz w:val="24"/>
                <w:szCs w:val="24"/>
                <w:lang w:eastAsia="lv-LV"/>
              </w:rPr>
              <w:t xml:space="preserve">noteiktas </w:t>
            </w:r>
            <w:r w:rsidR="001057CE">
              <w:rPr>
                <w:rFonts w:ascii="Times New Roman" w:eastAsia="Times New Roman" w:hAnsi="Times New Roman" w:cs="Times New Roman"/>
                <w:sz w:val="24"/>
                <w:szCs w:val="24"/>
                <w:lang w:eastAsia="lv-LV"/>
              </w:rPr>
              <w:t xml:space="preserve">Finanšu un kapitāla tirgus komisijas </w:t>
            </w:r>
            <w:r w:rsidR="00CE174C" w:rsidRPr="00856F8D">
              <w:rPr>
                <w:rFonts w:ascii="Times New Roman" w:hAnsi="Times New Roman" w:cs="Times New Roman"/>
                <w:sz w:val="24"/>
                <w:szCs w:val="24"/>
              </w:rPr>
              <w:t>2020.</w:t>
            </w:r>
            <w:r w:rsidR="00CE174C">
              <w:rPr>
                <w:rFonts w:ascii="Times New Roman" w:hAnsi="Times New Roman" w:cs="Times New Roman"/>
                <w:sz w:val="24"/>
                <w:szCs w:val="24"/>
              </w:rPr>
              <w:t> </w:t>
            </w:r>
            <w:r w:rsidR="00CE174C" w:rsidRPr="00856F8D">
              <w:rPr>
                <w:rFonts w:ascii="Times New Roman" w:hAnsi="Times New Roman" w:cs="Times New Roman"/>
                <w:sz w:val="24"/>
                <w:szCs w:val="24"/>
              </w:rPr>
              <w:t>gada 3.</w:t>
            </w:r>
            <w:r w:rsidR="00CE174C">
              <w:rPr>
                <w:rFonts w:ascii="Times New Roman" w:hAnsi="Times New Roman" w:cs="Times New Roman"/>
                <w:sz w:val="24"/>
                <w:szCs w:val="24"/>
              </w:rPr>
              <w:t> </w:t>
            </w:r>
            <w:r w:rsidR="00CE174C" w:rsidRPr="00856F8D">
              <w:rPr>
                <w:rFonts w:ascii="Times New Roman" w:hAnsi="Times New Roman" w:cs="Times New Roman"/>
                <w:sz w:val="24"/>
                <w:szCs w:val="24"/>
              </w:rPr>
              <w:t>novembra normatīv</w:t>
            </w:r>
            <w:r w:rsidR="00E0587A">
              <w:rPr>
                <w:rFonts w:ascii="Times New Roman" w:hAnsi="Times New Roman" w:cs="Times New Roman"/>
                <w:sz w:val="24"/>
                <w:szCs w:val="24"/>
              </w:rPr>
              <w:t>ajos</w:t>
            </w:r>
            <w:r w:rsidR="00CE174C" w:rsidRPr="00856F8D">
              <w:rPr>
                <w:rFonts w:ascii="Times New Roman" w:hAnsi="Times New Roman" w:cs="Times New Roman"/>
                <w:sz w:val="24"/>
                <w:szCs w:val="24"/>
              </w:rPr>
              <w:t xml:space="preserve"> noteikum</w:t>
            </w:r>
            <w:r w:rsidR="00E0587A">
              <w:rPr>
                <w:rFonts w:ascii="Times New Roman" w:hAnsi="Times New Roman" w:cs="Times New Roman"/>
                <w:sz w:val="24"/>
                <w:szCs w:val="24"/>
              </w:rPr>
              <w:t>os</w:t>
            </w:r>
            <w:r w:rsidR="00CE174C" w:rsidRPr="00856F8D">
              <w:rPr>
                <w:rFonts w:ascii="Times New Roman" w:hAnsi="Times New Roman" w:cs="Times New Roman"/>
                <w:sz w:val="24"/>
                <w:szCs w:val="24"/>
              </w:rPr>
              <w:t xml:space="preserve"> Nr.</w:t>
            </w:r>
            <w:r w:rsidR="00CE174C">
              <w:rPr>
                <w:rFonts w:ascii="Times New Roman" w:hAnsi="Times New Roman" w:cs="Times New Roman"/>
                <w:sz w:val="24"/>
                <w:szCs w:val="24"/>
              </w:rPr>
              <w:t> </w:t>
            </w:r>
            <w:r w:rsidR="00CE174C" w:rsidRPr="00856F8D">
              <w:rPr>
                <w:rFonts w:ascii="Times New Roman" w:hAnsi="Times New Roman" w:cs="Times New Roman"/>
                <w:sz w:val="24"/>
                <w:szCs w:val="24"/>
              </w:rPr>
              <w:t xml:space="preserve">209 "Kapitāla un likviditātes pietiekamības novērtēšanas procesa izveides normatīvie noteikumi" </w:t>
            </w:r>
            <w:r w:rsidR="00CE174C" w:rsidRPr="002C12BF">
              <w:rPr>
                <w:rFonts w:ascii="Times New Roman" w:hAnsi="Times New Roman" w:cs="Times New Roman"/>
                <w:sz w:val="24"/>
                <w:szCs w:val="24"/>
              </w:rPr>
              <w:t>(turpmāk</w:t>
            </w:r>
            <w:r w:rsidR="00CE174C">
              <w:rPr>
                <w:rFonts w:ascii="Times New Roman" w:hAnsi="Times New Roman" w:cs="Times New Roman"/>
                <w:sz w:val="24"/>
                <w:szCs w:val="24"/>
              </w:rPr>
              <w:t> </w:t>
            </w:r>
            <w:r w:rsidR="00CE174C" w:rsidRPr="002C12BF">
              <w:rPr>
                <w:rFonts w:ascii="Times New Roman" w:hAnsi="Times New Roman" w:cs="Times New Roman"/>
                <w:sz w:val="24"/>
                <w:szCs w:val="24"/>
              </w:rPr>
              <w:t>– Noteikumi Nr.</w:t>
            </w:r>
            <w:r w:rsidR="00CE174C">
              <w:rPr>
                <w:rFonts w:ascii="Times New Roman" w:hAnsi="Times New Roman" w:cs="Times New Roman"/>
                <w:sz w:val="24"/>
                <w:szCs w:val="24"/>
              </w:rPr>
              <w:t> 209</w:t>
            </w:r>
            <w:r w:rsidR="00CE174C" w:rsidRPr="002C12BF">
              <w:rPr>
                <w:rFonts w:ascii="Times New Roman" w:hAnsi="Times New Roman" w:cs="Times New Roman"/>
                <w:sz w:val="24"/>
                <w:szCs w:val="24"/>
              </w:rPr>
              <w:t>).</w:t>
            </w:r>
            <w:r>
              <w:rPr>
                <w:rFonts w:ascii="Times New Roman" w:hAnsi="Times New Roman" w:cs="Times New Roman"/>
                <w:sz w:val="24"/>
                <w:szCs w:val="24"/>
              </w:rPr>
              <w:t xml:space="preserve"> Noteikumos Nr. 209 iekļautais regulējums attiecībā uz kapitāla pietiekamības novērtēšanas procesa izveides vispārējiem principiem un </w:t>
            </w:r>
            <w:r w:rsidRPr="00CF0BDA">
              <w:rPr>
                <w:rFonts w:ascii="Times New Roman" w:hAnsi="Times New Roman" w:cs="Times New Roman"/>
                <w:sz w:val="24"/>
                <w:szCs w:val="24"/>
              </w:rPr>
              <w:t>satur</w:t>
            </w:r>
            <w:r>
              <w:rPr>
                <w:rFonts w:ascii="Times New Roman" w:hAnsi="Times New Roman" w:cs="Times New Roman"/>
                <w:sz w:val="24"/>
                <w:szCs w:val="24"/>
              </w:rPr>
              <w:t xml:space="preserve">u, </w:t>
            </w:r>
            <w:r w:rsidRPr="00CF0BDA">
              <w:rPr>
                <w:rFonts w:ascii="Times New Roman" w:hAnsi="Times New Roman" w:cs="Times New Roman"/>
                <w:sz w:val="24"/>
                <w:szCs w:val="24"/>
              </w:rPr>
              <w:t xml:space="preserve">kā arī Latvijas Bankai iesniedzamā </w:t>
            </w:r>
            <w:r>
              <w:rPr>
                <w:rFonts w:ascii="Times New Roman" w:hAnsi="Times New Roman" w:cs="Times New Roman"/>
                <w:sz w:val="24"/>
                <w:szCs w:val="24"/>
              </w:rPr>
              <w:t>ziņojuma</w:t>
            </w:r>
            <w:r w:rsidRPr="00CF0BDA">
              <w:rPr>
                <w:rFonts w:ascii="Times New Roman" w:hAnsi="Times New Roman" w:cs="Times New Roman"/>
                <w:sz w:val="24"/>
                <w:szCs w:val="24"/>
              </w:rPr>
              <w:t xml:space="preserve"> par </w:t>
            </w:r>
            <w:r>
              <w:rPr>
                <w:rFonts w:ascii="Times New Roman" w:hAnsi="Times New Roman" w:cs="Times New Roman"/>
                <w:sz w:val="24"/>
                <w:szCs w:val="24"/>
              </w:rPr>
              <w:t>kapitāla</w:t>
            </w:r>
            <w:r w:rsidRPr="00CF0BDA">
              <w:rPr>
                <w:rFonts w:ascii="Times New Roman" w:hAnsi="Times New Roman" w:cs="Times New Roman"/>
                <w:sz w:val="24"/>
                <w:szCs w:val="24"/>
              </w:rPr>
              <w:t xml:space="preserve"> pietiekamības novērtēšanas procesu </w:t>
            </w:r>
            <w:r>
              <w:rPr>
                <w:rFonts w:ascii="Times New Roman" w:hAnsi="Times New Roman" w:cs="Times New Roman"/>
                <w:sz w:val="24"/>
                <w:szCs w:val="24"/>
              </w:rPr>
              <w:t xml:space="preserve">sagatavošanas un </w:t>
            </w:r>
            <w:r w:rsidRPr="00CF0BDA">
              <w:rPr>
                <w:rFonts w:ascii="Times New Roman" w:hAnsi="Times New Roman" w:cs="Times New Roman"/>
                <w:sz w:val="24"/>
                <w:szCs w:val="24"/>
              </w:rPr>
              <w:t>sniegšanas kārtību</w:t>
            </w:r>
            <w:r>
              <w:rPr>
                <w:rFonts w:ascii="Times New Roman" w:hAnsi="Times New Roman" w:cs="Times New Roman"/>
                <w:sz w:val="24"/>
                <w:szCs w:val="24"/>
              </w:rPr>
              <w:t xml:space="preserve"> ir iekļauts Latvijas Bankas noteikumu projektā "</w:t>
            </w:r>
            <w:r w:rsidRPr="005C4BE1">
              <w:rPr>
                <w:rFonts w:ascii="Times New Roman" w:hAnsi="Times New Roman" w:cs="Times New Roman"/>
                <w:sz w:val="24"/>
                <w:szCs w:val="24"/>
              </w:rPr>
              <w:t>Kredītiestāžu kapitāla pietiekamības novērtēšanas procesa noteikumi</w:t>
            </w:r>
            <w:r>
              <w:rPr>
                <w:rFonts w:ascii="Times New Roman" w:hAnsi="Times New Roman" w:cs="Times New Roman"/>
                <w:sz w:val="24"/>
                <w:szCs w:val="24"/>
              </w:rPr>
              <w:t>".</w:t>
            </w:r>
          </w:p>
          <w:p w14:paraId="05BF3908" w14:textId="13EE593B" w:rsidR="00612ECF" w:rsidRDefault="00303E45" w:rsidP="00CC7E2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Kredītiestāžu likuma 37. panta pirmā daļa paredz prasību k</w:t>
            </w:r>
            <w:r w:rsidRPr="00303E45">
              <w:rPr>
                <w:rFonts w:ascii="Times New Roman" w:eastAsia="Times New Roman" w:hAnsi="Times New Roman" w:cs="Times New Roman"/>
                <w:sz w:val="24"/>
                <w:szCs w:val="24"/>
                <w:lang w:eastAsia="lv-LV"/>
              </w:rPr>
              <w:t>redītiestād</w:t>
            </w:r>
            <w:r>
              <w:rPr>
                <w:rFonts w:ascii="Times New Roman" w:eastAsia="Times New Roman" w:hAnsi="Times New Roman" w:cs="Times New Roman"/>
                <w:sz w:val="24"/>
                <w:szCs w:val="24"/>
                <w:lang w:eastAsia="lv-LV"/>
              </w:rPr>
              <w:t>ēm</w:t>
            </w:r>
            <w:r w:rsidRPr="00303E45">
              <w:rPr>
                <w:rFonts w:ascii="Times New Roman" w:eastAsia="Times New Roman" w:hAnsi="Times New Roman" w:cs="Times New Roman"/>
                <w:sz w:val="24"/>
                <w:szCs w:val="24"/>
                <w:lang w:eastAsia="lv-LV"/>
              </w:rPr>
              <w:t xml:space="preserve"> savus aktīvus izvieto</w:t>
            </w:r>
            <w:r>
              <w:rPr>
                <w:rFonts w:ascii="Times New Roman" w:eastAsia="Times New Roman" w:hAnsi="Times New Roman" w:cs="Times New Roman"/>
                <w:sz w:val="24"/>
                <w:szCs w:val="24"/>
                <w:lang w:eastAsia="lv-LV"/>
              </w:rPr>
              <w:t>t</w:t>
            </w:r>
            <w:r w:rsidRPr="00303E45">
              <w:rPr>
                <w:rFonts w:ascii="Times New Roman" w:eastAsia="Times New Roman" w:hAnsi="Times New Roman" w:cs="Times New Roman"/>
                <w:sz w:val="24"/>
                <w:szCs w:val="24"/>
                <w:lang w:eastAsia="lv-LV"/>
              </w:rPr>
              <w:t xml:space="preserve"> tā, lai jebkurā brīdī tiktu nodrošināta </w:t>
            </w:r>
            <w:r>
              <w:rPr>
                <w:rFonts w:ascii="Times New Roman" w:eastAsia="Times New Roman" w:hAnsi="Times New Roman" w:cs="Times New Roman"/>
                <w:sz w:val="24"/>
                <w:szCs w:val="24"/>
                <w:lang w:eastAsia="lv-LV"/>
              </w:rPr>
              <w:t xml:space="preserve">kredītiestādes </w:t>
            </w:r>
            <w:r w:rsidRPr="00303E45">
              <w:rPr>
                <w:rFonts w:ascii="Times New Roman" w:eastAsia="Times New Roman" w:hAnsi="Times New Roman" w:cs="Times New Roman"/>
                <w:sz w:val="24"/>
                <w:szCs w:val="24"/>
                <w:lang w:eastAsia="lv-LV"/>
              </w:rPr>
              <w:t>kreditoru juridiski pamatoto prasību apmierināšana</w:t>
            </w:r>
            <w:r>
              <w:rPr>
                <w:rFonts w:ascii="Times New Roman" w:eastAsia="Times New Roman" w:hAnsi="Times New Roman" w:cs="Times New Roman"/>
                <w:sz w:val="24"/>
                <w:szCs w:val="24"/>
                <w:lang w:eastAsia="lv-LV"/>
              </w:rPr>
              <w:t>. Savukārt minētā panta otrā daļa paredz, ka š</w:t>
            </w:r>
            <w:r w:rsidRPr="00303E45">
              <w:rPr>
                <w:rFonts w:ascii="Times New Roman" w:eastAsia="Times New Roman" w:hAnsi="Times New Roman" w:cs="Times New Roman"/>
                <w:sz w:val="24"/>
                <w:szCs w:val="24"/>
                <w:lang w:eastAsia="lv-LV"/>
              </w:rPr>
              <w:t>ādu prasību nodrošināšanas noteikumus attiecībā uz Latvijas Republikā reģistrētām kredītiestādēm (likviditātes prasības) nosaka Latvijas Banka</w:t>
            </w:r>
            <w:r>
              <w:rPr>
                <w:rFonts w:ascii="Times New Roman" w:eastAsia="Times New Roman" w:hAnsi="Times New Roman" w:cs="Times New Roman"/>
                <w:sz w:val="24"/>
                <w:szCs w:val="24"/>
                <w:lang w:eastAsia="lv-LV"/>
              </w:rPr>
              <w:t xml:space="preserve">. </w:t>
            </w:r>
            <w:r w:rsidR="005648EF" w:rsidRPr="005648EF">
              <w:rPr>
                <w:rFonts w:ascii="Times New Roman" w:eastAsia="Times New Roman" w:hAnsi="Times New Roman" w:cs="Times New Roman"/>
                <w:sz w:val="24"/>
                <w:szCs w:val="24"/>
                <w:lang w:eastAsia="lv-LV"/>
              </w:rPr>
              <w:t xml:space="preserve">Saskaņā ar Kredītiestāžu likuma </w:t>
            </w:r>
            <w:r w:rsidR="00612ECF">
              <w:rPr>
                <w:rFonts w:ascii="Times New Roman" w:eastAsia="Times New Roman" w:hAnsi="Times New Roman" w:cs="Times New Roman"/>
                <w:sz w:val="24"/>
                <w:szCs w:val="24"/>
                <w:lang w:eastAsia="lv-LV"/>
              </w:rPr>
              <w:t>37</w:t>
            </w:r>
            <w:r w:rsidR="005648EF" w:rsidRPr="005648EF">
              <w:rPr>
                <w:rFonts w:ascii="Times New Roman" w:eastAsia="Times New Roman" w:hAnsi="Times New Roman" w:cs="Times New Roman"/>
                <w:sz w:val="24"/>
                <w:szCs w:val="24"/>
                <w:lang w:eastAsia="lv-LV"/>
              </w:rPr>
              <w:t>.</w:t>
            </w:r>
            <w:r w:rsidR="001F3BDD">
              <w:rPr>
                <w:rFonts w:ascii="Times New Roman" w:eastAsia="Times New Roman" w:hAnsi="Times New Roman" w:cs="Times New Roman"/>
                <w:sz w:val="24"/>
                <w:szCs w:val="24"/>
                <w:lang w:eastAsia="lv-LV"/>
              </w:rPr>
              <w:t> </w:t>
            </w:r>
            <w:r w:rsidR="005648EF" w:rsidRPr="005648EF">
              <w:rPr>
                <w:rFonts w:ascii="Times New Roman" w:eastAsia="Times New Roman" w:hAnsi="Times New Roman" w:cs="Times New Roman"/>
                <w:sz w:val="24"/>
                <w:szCs w:val="24"/>
                <w:lang w:eastAsia="lv-LV"/>
              </w:rPr>
              <w:t xml:space="preserve">panta otrajā daļā noteikto deleģējumu </w:t>
            </w:r>
            <w:r w:rsidR="00BA5682">
              <w:rPr>
                <w:rFonts w:ascii="Times New Roman" w:eastAsia="Times New Roman" w:hAnsi="Times New Roman" w:cs="Times New Roman"/>
                <w:sz w:val="24"/>
                <w:szCs w:val="24"/>
                <w:lang w:eastAsia="lv-LV"/>
              </w:rPr>
              <w:t>Noteikumu projekt</w:t>
            </w:r>
            <w:r>
              <w:rPr>
                <w:rFonts w:ascii="Times New Roman" w:eastAsia="Times New Roman" w:hAnsi="Times New Roman" w:cs="Times New Roman"/>
                <w:sz w:val="24"/>
                <w:szCs w:val="24"/>
                <w:lang w:eastAsia="lv-LV"/>
              </w:rPr>
              <w:t xml:space="preserve">ā ietvertas </w:t>
            </w:r>
            <w:r w:rsidR="00BA5682">
              <w:rPr>
                <w:rFonts w:ascii="Times New Roman" w:eastAsia="Times New Roman" w:hAnsi="Times New Roman" w:cs="Times New Roman"/>
                <w:sz w:val="24"/>
                <w:szCs w:val="24"/>
                <w:lang w:eastAsia="lv-LV"/>
              </w:rPr>
              <w:t xml:space="preserve">likviditātes prasības </w:t>
            </w:r>
            <w:r w:rsidR="00BA5682" w:rsidRPr="00E31C38">
              <w:rPr>
                <w:rFonts w:ascii="Times New Roman" w:eastAsia="Times New Roman" w:hAnsi="Times New Roman" w:cs="Times New Roman"/>
                <w:sz w:val="24"/>
                <w:szCs w:val="24"/>
                <w:lang w:eastAsia="lv-LV"/>
              </w:rPr>
              <w:t>Latvijas Republikā reģistrētām kredītiestādēm</w:t>
            </w:r>
            <w:r w:rsidR="00BA5682">
              <w:rPr>
                <w:rFonts w:ascii="Times New Roman" w:eastAsia="Times New Roman" w:hAnsi="Times New Roman" w:cs="Times New Roman"/>
                <w:sz w:val="24"/>
                <w:szCs w:val="24"/>
                <w:lang w:eastAsia="lv-LV"/>
              </w:rPr>
              <w:t>.</w:t>
            </w:r>
          </w:p>
          <w:p w14:paraId="06E005F5" w14:textId="39E1DC8A" w:rsidR="00987A50" w:rsidRDefault="00492ED8" w:rsidP="006776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Savukārt s</w:t>
            </w:r>
            <w:r w:rsidR="00694B65" w:rsidRPr="00D6150A">
              <w:rPr>
                <w:rFonts w:ascii="Times New Roman" w:hAnsi="Times New Roman" w:cs="Times New Roman"/>
                <w:sz w:val="24"/>
                <w:szCs w:val="24"/>
              </w:rPr>
              <w:t>askaņā ar Kredītiestāžu likuma 50.</w:t>
            </w:r>
            <w:r w:rsidR="00694B65">
              <w:rPr>
                <w:rFonts w:ascii="Times New Roman" w:hAnsi="Times New Roman" w:cs="Times New Roman"/>
                <w:sz w:val="24"/>
                <w:szCs w:val="24"/>
              </w:rPr>
              <w:t> </w:t>
            </w:r>
            <w:r w:rsidR="00694B65" w:rsidRPr="00D6150A">
              <w:rPr>
                <w:rFonts w:ascii="Times New Roman" w:hAnsi="Times New Roman" w:cs="Times New Roman"/>
                <w:sz w:val="24"/>
                <w:szCs w:val="24"/>
              </w:rPr>
              <w:t xml:space="preserve">panta otrajā un trešajā daļā noteikto deleģējumu Latvijas Bankai ir tiesības </w:t>
            </w:r>
            <w:r w:rsidR="00694B65">
              <w:rPr>
                <w:rFonts w:ascii="Times New Roman" w:hAnsi="Times New Roman" w:cs="Times New Roman"/>
                <w:sz w:val="24"/>
                <w:szCs w:val="24"/>
              </w:rPr>
              <w:t xml:space="preserve">noteikt </w:t>
            </w:r>
            <w:r>
              <w:rPr>
                <w:rFonts w:ascii="Times New Roman" w:hAnsi="Times New Roman" w:cs="Times New Roman"/>
                <w:sz w:val="24"/>
                <w:szCs w:val="24"/>
              </w:rPr>
              <w:t xml:space="preserve">kredītiestādēm </w:t>
            </w:r>
            <w:r w:rsidR="00694B65">
              <w:rPr>
                <w:rFonts w:ascii="Times New Roman" w:hAnsi="Times New Roman" w:cs="Times New Roman"/>
                <w:sz w:val="24"/>
                <w:szCs w:val="24"/>
              </w:rPr>
              <w:t>likviditātes</w:t>
            </w:r>
            <w:r w:rsidR="00694B65" w:rsidRPr="00D6150A">
              <w:rPr>
                <w:rFonts w:ascii="Times New Roman" w:hAnsi="Times New Roman" w:cs="Times New Roman"/>
                <w:sz w:val="24"/>
                <w:szCs w:val="24"/>
              </w:rPr>
              <w:t xml:space="preserve"> pietiekamības novērtēšanas proces</w:t>
            </w:r>
            <w:r w:rsidR="00694B65">
              <w:rPr>
                <w:rFonts w:ascii="Times New Roman" w:hAnsi="Times New Roman" w:cs="Times New Roman"/>
                <w:sz w:val="24"/>
                <w:szCs w:val="24"/>
              </w:rPr>
              <w:t xml:space="preserve">a </w:t>
            </w:r>
            <w:r w:rsidR="00694B65">
              <w:rPr>
                <w:rFonts w:ascii="Times New Roman" w:hAnsi="Times New Roman" w:cs="Times New Roman"/>
                <w:sz w:val="24"/>
                <w:szCs w:val="24"/>
              </w:rPr>
              <w:lastRenderedPageBreak/>
              <w:t xml:space="preserve">izveides vispārējos principus un tā īstenošanas prasības, kā arī prasības informācijas par </w:t>
            </w:r>
            <w:r w:rsidR="00EC2700">
              <w:rPr>
                <w:rFonts w:ascii="Times New Roman" w:hAnsi="Times New Roman" w:cs="Times New Roman"/>
                <w:sz w:val="24"/>
                <w:szCs w:val="24"/>
              </w:rPr>
              <w:t>likviditātes</w:t>
            </w:r>
            <w:r w:rsidR="00694B65" w:rsidRPr="00736C30">
              <w:rPr>
                <w:rFonts w:ascii="Times New Roman" w:hAnsi="Times New Roman" w:cs="Times New Roman"/>
                <w:sz w:val="24"/>
                <w:szCs w:val="24"/>
              </w:rPr>
              <w:t xml:space="preserve"> pietiekamības novērtēšanas procesu </w:t>
            </w:r>
            <w:r w:rsidR="00694B65">
              <w:rPr>
                <w:rFonts w:ascii="Times New Roman" w:hAnsi="Times New Roman" w:cs="Times New Roman"/>
                <w:sz w:val="24"/>
                <w:szCs w:val="24"/>
              </w:rPr>
              <w:t>sagatavošanai un ie</w:t>
            </w:r>
            <w:r w:rsidR="00694B65" w:rsidRPr="00D6150A">
              <w:rPr>
                <w:rFonts w:ascii="Times New Roman" w:hAnsi="Times New Roman" w:cs="Times New Roman"/>
                <w:sz w:val="24"/>
                <w:szCs w:val="24"/>
              </w:rPr>
              <w:t>sniegšana</w:t>
            </w:r>
            <w:r w:rsidR="00694B65">
              <w:rPr>
                <w:rFonts w:ascii="Times New Roman" w:hAnsi="Times New Roman" w:cs="Times New Roman"/>
                <w:sz w:val="24"/>
                <w:szCs w:val="24"/>
              </w:rPr>
              <w:t>i</w:t>
            </w:r>
            <w:r w:rsidR="00694B65" w:rsidRPr="00D6150A">
              <w:rPr>
                <w:rFonts w:ascii="Times New Roman" w:hAnsi="Times New Roman" w:cs="Times New Roman"/>
                <w:sz w:val="24"/>
                <w:szCs w:val="24"/>
              </w:rPr>
              <w:t xml:space="preserve"> </w:t>
            </w:r>
            <w:r w:rsidR="00694B65" w:rsidRPr="00651F7B">
              <w:rPr>
                <w:rFonts w:ascii="Times New Roman" w:hAnsi="Times New Roman" w:cs="Times New Roman"/>
                <w:sz w:val="24"/>
                <w:szCs w:val="24"/>
              </w:rPr>
              <w:t>Latvijas Bank</w:t>
            </w:r>
            <w:r w:rsidR="00677613" w:rsidRPr="00CE05ED">
              <w:rPr>
                <w:rFonts w:ascii="Times New Roman" w:hAnsi="Times New Roman" w:cs="Times New Roman"/>
                <w:sz w:val="24"/>
                <w:szCs w:val="24"/>
              </w:rPr>
              <w:t>ā</w:t>
            </w:r>
            <w:r w:rsidRPr="00651F7B">
              <w:rPr>
                <w:rFonts w:ascii="Times New Roman" w:hAnsi="Times New Roman" w:cs="Times New Roman"/>
                <w:sz w:val="24"/>
                <w:szCs w:val="24"/>
              </w:rPr>
              <w:t>,</w:t>
            </w:r>
            <w:r>
              <w:rPr>
                <w:rFonts w:ascii="Times New Roman" w:hAnsi="Times New Roman" w:cs="Times New Roman"/>
                <w:sz w:val="24"/>
                <w:szCs w:val="24"/>
              </w:rPr>
              <w:t xml:space="preserve"> lai nodrošinātu </w:t>
            </w:r>
            <w:r w:rsidR="00987A50">
              <w:rPr>
                <w:rFonts w:ascii="Times New Roman" w:hAnsi="Times New Roman" w:cs="Times New Roman"/>
                <w:sz w:val="24"/>
                <w:szCs w:val="24"/>
              </w:rPr>
              <w:t>to prasību izpildi, kuras izriet no:</w:t>
            </w:r>
          </w:p>
          <w:p w14:paraId="00B62160" w14:textId="4D3CD9E2" w:rsidR="00987A50" w:rsidRDefault="00987A50" w:rsidP="006776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492ED8" w:rsidRPr="00492ED8">
              <w:rPr>
                <w:rFonts w:ascii="Times New Roman" w:hAnsi="Times New Roman" w:cs="Times New Roman"/>
                <w:sz w:val="24"/>
                <w:szCs w:val="24"/>
              </w:rPr>
              <w:t>Eiropas Parlamenta un Padomes 2013.</w:t>
            </w:r>
            <w:r w:rsidR="00492ED8">
              <w:rPr>
                <w:rFonts w:ascii="Times New Roman" w:hAnsi="Times New Roman" w:cs="Times New Roman"/>
                <w:sz w:val="24"/>
                <w:szCs w:val="24"/>
              </w:rPr>
              <w:t> </w:t>
            </w:r>
            <w:r w:rsidR="00492ED8" w:rsidRPr="00492ED8">
              <w:rPr>
                <w:rFonts w:ascii="Times New Roman" w:hAnsi="Times New Roman" w:cs="Times New Roman"/>
                <w:sz w:val="24"/>
                <w:szCs w:val="24"/>
              </w:rPr>
              <w:t>gada 26.</w:t>
            </w:r>
            <w:r w:rsidR="00492ED8">
              <w:rPr>
                <w:rFonts w:ascii="Times New Roman" w:hAnsi="Times New Roman" w:cs="Times New Roman"/>
                <w:sz w:val="24"/>
                <w:szCs w:val="24"/>
              </w:rPr>
              <w:t> </w:t>
            </w:r>
            <w:r w:rsidR="00492ED8" w:rsidRPr="00492ED8">
              <w:rPr>
                <w:rFonts w:ascii="Times New Roman" w:hAnsi="Times New Roman" w:cs="Times New Roman"/>
                <w:sz w:val="24"/>
                <w:szCs w:val="24"/>
              </w:rPr>
              <w:t>jūnija direktīvas 2013/36/ES par piekļuvi kredītiestāžu darbībai un kredītiestāžu prudenciālo uzraudzību, ar ko groza direktīvu 2002/87/EK un atceļ direktīvas 2006/48/EK un 2006/49/EK (turpmāk</w:t>
            </w:r>
            <w:r w:rsidR="00492ED8">
              <w:rPr>
                <w:rFonts w:ascii="Times New Roman" w:hAnsi="Times New Roman" w:cs="Times New Roman"/>
                <w:sz w:val="24"/>
                <w:szCs w:val="24"/>
              </w:rPr>
              <w:t> </w:t>
            </w:r>
            <w:r w:rsidR="00492ED8" w:rsidRPr="00492ED8">
              <w:rPr>
                <w:rFonts w:ascii="Times New Roman" w:hAnsi="Times New Roman" w:cs="Times New Roman"/>
                <w:sz w:val="24"/>
                <w:szCs w:val="24"/>
              </w:rPr>
              <w:t>– Direktīva Nr.</w:t>
            </w:r>
            <w:r w:rsidR="00492ED8">
              <w:rPr>
                <w:rFonts w:ascii="Times New Roman" w:hAnsi="Times New Roman" w:cs="Times New Roman"/>
                <w:sz w:val="24"/>
                <w:szCs w:val="24"/>
              </w:rPr>
              <w:t> </w:t>
            </w:r>
            <w:r w:rsidR="00492ED8" w:rsidRPr="00492ED8">
              <w:rPr>
                <w:rFonts w:ascii="Times New Roman" w:hAnsi="Times New Roman" w:cs="Times New Roman"/>
                <w:sz w:val="24"/>
                <w:szCs w:val="24"/>
              </w:rPr>
              <w:t>2013/36/ES)</w:t>
            </w:r>
            <w:r w:rsidR="00492ED8">
              <w:rPr>
                <w:rFonts w:ascii="Times New Roman" w:hAnsi="Times New Roman" w:cs="Times New Roman"/>
                <w:sz w:val="24"/>
                <w:szCs w:val="24"/>
              </w:rPr>
              <w:t xml:space="preserve"> </w:t>
            </w:r>
            <w:r w:rsidR="00A25744">
              <w:rPr>
                <w:rFonts w:ascii="Times New Roman" w:hAnsi="Times New Roman" w:cs="Times New Roman"/>
                <w:sz w:val="24"/>
                <w:szCs w:val="24"/>
              </w:rPr>
              <w:t>86. pant</w:t>
            </w:r>
            <w:r>
              <w:rPr>
                <w:rFonts w:ascii="Times New Roman" w:hAnsi="Times New Roman" w:cs="Times New Roman"/>
                <w:sz w:val="24"/>
                <w:szCs w:val="24"/>
              </w:rPr>
              <w:t>a;</w:t>
            </w:r>
          </w:p>
          <w:p w14:paraId="5032B63C" w14:textId="14F2265B" w:rsidR="00987A50" w:rsidRDefault="00987A50" w:rsidP="006776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F13B5">
              <w:rPr>
                <w:rFonts w:ascii="Times New Roman" w:hAnsi="Times New Roman" w:cs="Times New Roman"/>
                <w:bCs/>
                <w:sz w:val="24"/>
                <w:szCs w:val="24"/>
              </w:rPr>
              <w:t>Eiropas Parlamenta un Padomes 2019.</w:t>
            </w:r>
            <w:r w:rsidR="00CF7D64">
              <w:rPr>
                <w:rFonts w:ascii="Times New Roman" w:hAnsi="Times New Roman" w:cs="Times New Roman"/>
                <w:bCs/>
                <w:sz w:val="24"/>
                <w:szCs w:val="24"/>
              </w:rPr>
              <w:t> </w:t>
            </w:r>
            <w:r w:rsidRPr="00EF13B5">
              <w:rPr>
                <w:rFonts w:ascii="Times New Roman" w:hAnsi="Times New Roman" w:cs="Times New Roman"/>
                <w:bCs/>
                <w:sz w:val="24"/>
                <w:szCs w:val="24"/>
              </w:rPr>
              <w:t>gada 27.</w:t>
            </w:r>
            <w:r w:rsidR="00CF7D64">
              <w:rPr>
                <w:rFonts w:ascii="Times New Roman" w:hAnsi="Times New Roman" w:cs="Times New Roman"/>
                <w:bCs/>
                <w:sz w:val="24"/>
                <w:szCs w:val="24"/>
              </w:rPr>
              <w:t> </w:t>
            </w:r>
            <w:r w:rsidRPr="00EF13B5">
              <w:rPr>
                <w:rFonts w:ascii="Times New Roman" w:hAnsi="Times New Roman" w:cs="Times New Roman"/>
                <w:bCs/>
                <w:sz w:val="24"/>
                <w:szCs w:val="24"/>
              </w:rPr>
              <w:t>novembra direktīva</w:t>
            </w:r>
            <w:r>
              <w:rPr>
                <w:rFonts w:ascii="Times New Roman" w:hAnsi="Times New Roman" w:cs="Times New Roman"/>
                <w:bCs/>
                <w:sz w:val="24"/>
                <w:szCs w:val="24"/>
              </w:rPr>
              <w:t xml:space="preserve">s </w:t>
            </w:r>
            <w:r w:rsidRPr="00EF13B5">
              <w:rPr>
                <w:rFonts w:ascii="Times New Roman" w:hAnsi="Times New Roman" w:cs="Times New Roman"/>
                <w:bCs/>
                <w:sz w:val="24"/>
                <w:szCs w:val="24"/>
              </w:rPr>
              <w:t>(ES)</w:t>
            </w:r>
            <w:r w:rsidR="00CF7D64">
              <w:rPr>
                <w:rFonts w:ascii="Times New Roman" w:hAnsi="Times New Roman" w:cs="Times New Roman"/>
                <w:bCs/>
                <w:sz w:val="24"/>
                <w:szCs w:val="24"/>
              </w:rPr>
              <w:t> </w:t>
            </w:r>
            <w:r w:rsidRPr="00EF13B5">
              <w:rPr>
                <w:rFonts w:ascii="Times New Roman" w:hAnsi="Times New Roman" w:cs="Times New Roman"/>
                <w:bCs/>
                <w:sz w:val="24"/>
                <w:szCs w:val="24"/>
              </w:rPr>
              <w:t>2019/2034 par ieguldījumu brokeru sabiedrību prudenciālo uzraudzību un ar ko groza direktīvas</w:t>
            </w:r>
            <w:r w:rsidR="00CF7D64">
              <w:rPr>
                <w:rFonts w:ascii="Times New Roman" w:hAnsi="Times New Roman" w:cs="Times New Roman"/>
                <w:bCs/>
                <w:sz w:val="24"/>
                <w:szCs w:val="24"/>
              </w:rPr>
              <w:t> </w:t>
            </w:r>
            <w:r w:rsidRPr="00EF13B5">
              <w:rPr>
                <w:rFonts w:ascii="Times New Roman" w:hAnsi="Times New Roman" w:cs="Times New Roman"/>
                <w:bCs/>
                <w:sz w:val="24"/>
                <w:szCs w:val="24"/>
              </w:rPr>
              <w:t>2002/87/EK, 2009/65/EK, 2011/61/ES, 2013/36/ES, 2014/59/ES un 2014/65/ES</w:t>
            </w:r>
            <w:r>
              <w:rPr>
                <w:rFonts w:ascii="Times New Roman" w:hAnsi="Times New Roman" w:cs="Times New Roman"/>
                <w:bCs/>
                <w:sz w:val="24"/>
                <w:szCs w:val="24"/>
              </w:rPr>
              <w:t xml:space="preserve"> (turpmāk – Direktīva </w:t>
            </w:r>
            <w:r w:rsidRPr="00EF13B5">
              <w:rPr>
                <w:rFonts w:ascii="Times New Roman" w:hAnsi="Times New Roman" w:cs="Times New Roman"/>
                <w:bCs/>
                <w:sz w:val="24"/>
                <w:szCs w:val="24"/>
              </w:rPr>
              <w:t>2019/2034</w:t>
            </w:r>
            <w:r>
              <w:rPr>
                <w:rFonts w:ascii="Times New Roman" w:hAnsi="Times New Roman" w:cs="Times New Roman"/>
                <w:bCs/>
                <w:sz w:val="24"/>
                <w:szCs w:val="24"/>
              </w:rPr>
              <w:t>)</w:t>
            </w:r>
            <w:r w:rsidR="00B434A6">
              <w:rPr>
                <w:rFonts w:ascii="Times New Roman" w:hAnsi="Times New Roman" w:cs="Times New Roman"/>
                <w:bCs/>
                <w:sz w:val="24"/>
                <w:szCs w:val="24"/>
              </w:rPr>
              <w:t xml:space="preserve"> 6</w:t>
            </w:r>
            <w:r w:rsidR="00520F8F">
              <w:rPr>
                <w:rFonts w:ascii="Times New Roman" w:hAnsi="Times New Roman" w:cs="Times New Roman"/>
                <w:bCs/>
                <w:sz w:val="24"/>
                <w:szCs w:val="24"/>
              </w:rPr>
              <w:t>2</w:t>
            </w:r>
            <w:r w:rsidR="00B434A6">
              <w:rPr>
                <w:rFonts w:ascii="Times New Roman" w:hAnsi="Times New Roman" w:cs="Times New Roman"/>
                <w:bCs/>
                <w:sz w:val="24"/>
                <w:szCs w:val="24"/>
              </w:rPr>
              <w:t xml:space="preserve">. panta </w:t>
            </w:r>
            <w:r w:rsidR="00520F8F">
              <w:rPr>
                <w:rFonts w:ascii="Times New Roman" w:hAnsi="Times New Roman" w:cs="Times New Roman"/>
                <w:bCs/>
                <w:sz w:val="24"/>
                <w:szCs w:val="24"/>
              </w:rPr>
              <w:t>15</w:t>
            </w:r>
            <w:r w:rsidR="00B434A6">
              <w:rPr>
                <w:rFonts w:ascii="Times New Roman" w:hAnsi="Times New Roman" w:cs="Times New Roman"/>
                <w:bCs/>
                <w:sz w:val="24"/>
                <w:szCs w:val="24"/>
              </w:rPr>
              <w:t>. punkta</w:t>
            </w:r>
            <w:r>
              <w:rPr>
                <w:rFonts w:ascii="Times New Roman" w:hAnsi="Times New Roman" w:cs="Times New Roman"/>
                <w:bCs/>
                <w:sz w:val="24"/>
                <w:szCs w:val="24"/>
              </w:rPr>
              <w:t>;</w:t>
            </w:r>
          </w:p>
          <w:p w14:paraId="2BCF5125" w14:textId="31500C47" w:rsidR="00987A50" w:rsidRDefault="00987A50" w:rsidP="006776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933A7">
              <w:rPr>
                <w:rFonts w:ascii="Times New Roman" w:hAnsi="Times New Roman" w:cs="Times New Roman"/>
                <w:sz w:val="24"/>
                <w:szCs w:val="24"/>
              </w:rPr>
              <w:t>Eiropas Banku iestādes (turpmāk – EBI)</w:t>
            </w:r>
            <w:r w:rsidR="00A933A7" w:rsidRPr="00005BDC">
              <w:rPr>
                <w:rFonts w:ascii="Times New Roman" w:hAnsi="Times New Roman" w:cs="Times New Roman"/>
                <w:sz w:val="24"/>
                <w:szCs w:val="24"/>
              </w:rPr>
              <w:t xml:space="preserve"> 2022. gada 18. mart</w:t>
            </w:r>
            <w:r w:rsidR="00A933A7">
              <w:rPr>
                <w:rFonts w:ascii="Times New Roman" w:hAnsi="Times New Roman" w:cs="Times New Roman"/>
                <w:sz w:val="24"/>
                <w:szCs w:val="24"/>
              </w:rPr>
              <w:t>a</w:t>
            </w:r>
            <w:r w:rsidR="00A933A7" w:rsidRPr="00005BDC">
              <w:rPr>
                <w:rFonts w:ascii="Times New Roman" w:hAnsi="Times New Roman" w:cs="Times New Roman"/>
                <w:sz w:val="24"/>
                <w:szCs w:val="24"/>
              </w:rPr>
              <w:t xml:space="preserve"> pamatnostādn</w:t>
            </w:r>
            <w:r w:rsidR="00A933A7">
              <w:rPr>
                <w:rFonts w:ascii="Times New Roman" w:hAnsi="Times New Roman" w:cs="Times New Roman"/>
                <w:sz w:val="24"/>
                <w:szCs w:val="24"/>
              </w:rPr>
              <w:t>ēm</w:t>
            </w:r>
            <w:r w:rsidR="00A933A7" w:rsidRPr="00005BDC">
              <w:rPr>
                <w:rFonts w:ascii="Times New Roman" w:hAnsi="Times New Roman" w:cs="Times New Roman"/>
                <w:sz w:val="24"/>
                <w:szCs w:val="24"/>
              </w:rPr>
              <w:t xml:space="preserve"> EBI/PN/2022/03 "Pamatnostādnes par kopējām procedūrām un metodiku uzraudzības pārbaudes un novērtēšanas procesam </w:t>
            </w:r>
            <w:r w:rsidR="00A933A7" w:rsidRPr="00005BDC">
              <w:rPr>
                <w:rFonts w:ascii="Times New Roman" w:hAnsi="Times New Roman" w:cs="Times New Roman"/>
                <w:i/>
                <w:iCs/>
                <w:sz w:val="24"/>
                <w:szCs w:val="24"/>
              </w:rPr>
              <w:t xml:space="preserve">(SREP) </w:t>
            </w:r>
            <w:r w:rsidR="00A933A7" w:rsidRPr="00005BDC">
              <w:rPr>
                <w:rFonts w:ascii="Times New Roman" w:hAnsi="Times New Roman" w:cs="Times New Roman"/>
                <w:sz w:val="24"/>
                <w:szCs w:val="24"/>
              </w:rPr>
              <w:t>un uzraudzības stresa testiem" (turpmāk – Pamatnostādnes par SREP)</w:t>
            </w:r>
            <w:r w:rsidR="00A933A7">
              <w:rPr>
                <w:rFonts w:ascii="Times New Roman" w:hAnsi="Times New Roman" w:cs="Times New Roman"/>
                <w:sz w:val="24"/>
                <w:szCs w:val="24"/>
              </w:rPr>
              <w:t>;</w:t>
            </w:r>
          </w:p>
          <w:p w14:paraId="6D4E3206" w14:textId="714DAECA" w:rsidR="00A933A7" w:rsidRDefault="00A933A7" w:rsidP="006776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4) EBI </w:t>
            </w:r>
            <w:r w:rsidRPr="00A933A7">
              <w:rPr>
                <w:rFonts w:ascii="Times New Roman" w:hAnsi="Times New Roman" w:cs="Times New Roman"/>
                <w:sz w:val="24"/>
                <w:szCs w:val="24"/>
              </w:rPr>
              <w:t>2018.</w:t>
            </w:r>
            <w:r w:rsidR="00CF7D64">
              <w:rPr>
                <w:rFonts w:ascii="Times New Roman" w:hAnsi="Times New Roman" w:cs="Times New Roman"/>
                <w:sz w:val="24"/>
                <w:szCs w:val="24"/>
              </w:rPr>
              <w:t> </w:t>
            </w:r>
            <w:r w:rsidRPr="00A933A7">
              <w:rPr>
                <w:rFonts w:ascii="Times New Roman" w:hAnsi="Times New Roman" w:cs="Times New Roman"/>
                <w:sz w:val="24"/>
                <w:szCs w:val="24"/>
              </w:rPr>
              <w:t>gada 19.</w:t>
            </w:r>
            <w:r w:rsidR="00CF7D64">
              <w:rPr>
                <w:rFonts w:ascii="Times New Roman" w:hAnsi="Times New Roman" w:cs="Times New Roman"/>
                <w:sz w:val="24"/>
                <w:szCs w:val="24"/>
              </w:rPr>
              <w:t> </w:t>
            </w:r>
            <w:r w:rsidRPr="00A933A7">
              <w:rPr>
                <w:rFonts w:ascii="Times New Roman" w:hAnsi="Times New Roman" w:cs="Times New Roman"/>
                <w:sz w:val="24"/>
                <w:szCs w:val="24"/>
              </w:rPr>
              <w:t>jūlija pamatnostādnēm EBA/GL/2018/04 "Pamatnostādnes par iestāžu spriedzes testiem"</w:t>
            </w:r>
            <w:r>
              <w:rPr>
                <w:rFonts w:ascii="Times New Roman" w:hAnsi="Times New Roman" w:cs="Times New Roman"/>
                <w:sz w:val="24"/>
                <w:szCs w:val="24"/>
              </w:rPr>
              <w:t xml:space="preserve"> (turpmāk – Pamatnostādnes par stresa testiem);</w:t>
            </w:r>
          </w:p>
          <w:p w14:paraId="08A9F685" w14:textId="04D83A7C" w:rsidR="00694B65" w:rsidRPr="00651F7B" w:rsidRDefault="00A933A7" w:rsidP="006776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5) EBI </w:t>
            </w:r>
            <w:r w:rsidRPr="00A933A7">
              <w:rPr>
                <w:rFonts w:ascii="Times New Roman" w:hAnsi="Times New Roman" w:cs="Times New Roman"/>
                <w:sz w:val="24"/>
                <w:szCs w:val="24"/>
              </w:rPr>
              <w:t>2017.</w:t>
            </w:r>
            <w:r w:rsidR="00CF7D64">
              <w:rPr>
                <w:rFonts w:ascii="Times New Roman" w:hAnsi="Times New Roman" w:cs="Times New Roman"/>
                <w:sz w:val="24"/>
                <w:szCs w:val="24"/>
              </w:rPr>
              <w:t> </w:t>
            </w:r>
            <w:r w:rsidRPr="00A933A7">
              <w:rPr>
                <w:rFonts w:ascii="Times New Roman" w:hAnsi="Times New Roman" w:cs="Times New Roman"/>
                <w:sz w:val="24"/>
                <w:szCs w:val="24"/>
              </w:rPr>
              <w:t>gada 10.</w:t>
            </w:r>
            <w:r w:rsidR="00CF7D64">
              <w:rPr>
                <w:rFonts w:ascii="Times New Roman" w:hAnsi="Times New Roman" w:cs="Times New Roman"/>
                <w:sz w:val="24"/>
                <w:szCs w:val="24"/>
              </w:rPr>
              <w:t> </w:t>
            </w:r>
            <w:r w:rsidRPr="00A933A7">
              <w:rPr>
                <w:rFonts w:ascii="Times New Roman" w:hAnsi="Times New Roman" w:cs="Times New Roman"/>
                <w:sz w:val="24"/>
                <w:szCs w:val="24"/>
              </w:rPr>
              <w:t xml:space="preserve">februāra pamatnostādnēm EBA/GL/2016/10 "Pamatnostādnes par </w:t>
            </w:r>
            <w:r w:rsidRPr="00CE05ED">
              <w:rPr>
                <w:rFonts w:ascii="Times New Roman" w:hAnsi="Times New Roman" w:cs="Times New Roman"/>
                <w:i/>
                <w:iCs/>
                <w:sz w:val="24"/>
                <w:szCs w:val="24"/>
              </w:rPr>
              <w:t>SREP</w:t>
            </w:r>
            <w:r w:rsidRPr="00A933A7">
              <w:rPr>
                <w:rFonts w:ascii="Times New Roman" w:hAnsi="Times New Roman" w:cs="Times New Roman"/>
                <w:sz w:val="24"/>
                <w:szCs w:val="24"/>
              </w:rPr>
              <w:t xml:space="preserve"> vajadzībām vācamo </w:t>
            </w:r>
            <w:r w:rsidRPr="00CE05ED">
              <w:rPr>
                <w:rFonts w:ascii="Times New Roman" w:hAnsi="Times New Roman" w:cs="Times New Roman"/>
                <w:i/>
                <w:iCs/>
                <w:sz w:val="24"/>
                <w:szCs w:val="24"/>
              </w:rPr>
              <w:t>ICAAP</w:t>
            </w:r>
            <w:r w:rsidRPr="00A933A7">
              <w:rPr>
                <w:rFonts w:ascii="Times New Roman" w:hAnsi="Times New Roman" w:cs="Times New Roman"/>
                <w:sz w:val="24"/>
                <w:szCs w:val="24"/>
              </w:rPr>
              <w:t xml:space="preserve"> un </w:t>
            </w:r>
            <w:r w:rsidRPr="00CE05ED">
              <w:rPr>
                <w:rFonts w:ascii="Times New Roman" w:hAnsi="Times New Roman" w:cs="Times New Roman"/>
                <w:i/>
                <w:iCs/>
                <w:sz w:val="24"/>
                <w:szCs w:val="24"/>
              </w:rPr>
              <w:t>ILAAP</w:t>
            </w:r>
            <w:r w:rsidRPr="00A933A7">
              <w:rPr>
                <w:rFonts w:ascii="Times New Roman" w:hAnsi="Times New Roman" w:cs="Times New Roman"/>
                <w:sz w:val="24"/>
                <w:szCs w:val="24"/>
              </w:rPr>
              <w:t xml:space="preserve"> informāciju"</w:t>
            </w:r>
            <w:r>
              <w:rPr>
                <w:rFonts w:ascii="Times New Roman" w:hAnsi="Times New Roman" w:cs="Times New Roman"/>
                <w:sz w:val="24"/>
                <w:szCs w:val="24"/>
              </w:rPr>
              <w:t xml:space="preserve"> </w:t>
            </w:r>
            <w:r w:rsidRPr="00D6150A">
              <w:rPr>
                <w:rFonts w:ascii="Times New Roman" w:hAnsi="Times New Roman" w:cs="Times New Roman"/>
                <w:sz w:val="24"/>
                <w:szCs w:val="24"/>
              </w:rPr>
              <w:t>(turpmāk</w:t>
            </w:r>
            <w:r>
              <w:rPr>
                <w:rFonts w:ascii="Times New Roman" w:hAnsi="Times New Roman" w:cs="Times New Roman"/>
                <w:sz w:val="24"/>
                <w:szCs w:val="24"/>
              </w:rPr>
              <w:t> </w:t>
            </w:r>
            <w:r w:rsidRPr="00D6150A">
              <w:rPr>
                <w:rFonts w:ascii="Times New Roman" w:hAnsi="Times New Roman" w:cs="Times New Roman"/>
                <w:sz w:val="24"/>
                <w:szCs w:val="24"/>
              </w:rPr>
              <w:t xml:space="preserve">– </w:t>
            </w:r>
            <w:r w:rsidRPr="00651F7B">
              <w:rPr>
                <w:rFonts w:ascii="Times New Roman" w:hAnsi="Times New Roman" w:cs="Times New Roman"/>
                <w:sz w:val="24"/>
                <w:szCs w:val="24"/>
              </w:rPr>
              <w:t>Pamatnostādnes par informāciju)</w:t>
            </w:r>
            <w:r w:rsidR="00694B65" w:rsidRPr="00651F7B">
              <w:rPr>
                <w:rFonts w:ascii="Times New Roman" w:hAnsi="Times New Roman" w:cs="Times New Roman"/>
                <w:sz w:val="24"/>
                <w:szCs w:val="24"/>
              </w:rPr>
              <w:t xml:space="preserve">. </w:t>
            </w:r>
          </w:p>
          <w:p w14:paraId="27E5ECCB" w14:textId="28D66523" w:rsidR="0083759B" w:rsidRPr="00CC7B37" w:rsidRDefault="00174FE8" w:rsidP="00677613">
            <w:pPr>
              <w:spacing w:after="120" w:line="240" w:lineRule="auto"/>
              <w:jc w:val="both"/>
              <w:rPr>
                <w:rFonts w:ascii="Times New Roman" w:hAnsi="Times New Roman" w:cs="Times New Roman"/>
                <w:b/>
                <w:bCs/>
                <w:sz w:val="24"/>
                <w:szCs w:val="24"/>
              </w:rPr>
            </w:pPr>
            <w:r w:rsidRPr="00651F7B">
              <w:rPr>
                <w:rFonts w:ascii="Times New Roman" w:hAnsi="Times New Roman" w:cs="Times New Roman"/>
                <w:b/>
                <w:bCs/>
                <w:sz w:val="24"/>
                <w:szCs w:val="24"/>
              </w:rPr>
              <w:t>Direktīv</w:t>
            </w:r>
            <w:r w:rsidR="00987A50" w:rsidRPr="00651F7B">
              <w:rPr>
                <w:rFonts w:ascii="Times New Roman" w:hAnsi="Times New Roman" w:cs="Times New Roman"/>
                <w:b/>
                <w:bCs/>
                <w:sz w:val="24"/>
                <w:szCs w:val="24"/>
              </w:rPr>
              <w:t xml:space="preserve">u </w:t>
            </w:r>
            <w:r w:rsidRPr="00CE05ED">
              <w:rPr>
                <w:rFonts w:ascii="Times New Roman" w:hAnsi="Times New Roman" w:cs="Times New Roman"/>
                <w:b/>
                <w:bCs/>
                <w:sz w:val="24"/>
                <w:szCs w:val="24"/>
              </w:rPr>
              <w:t>transpo</w:t>
            </w:r>
            <w:r w:rsidR="00651F7B" w:rsidRPr="00CE05ED">
              <w:rPr>
                <w:rFonts w:ascii="Times New Roman" w:hAnsi="Times New Roman" w:cs="Times New Roman"/>
                <w:b/>
                <w:bCs/>
                <w:sz w:val="24"/>
                <w:szCs w:val="24"/>
              </w:rPr>
              <w:t>nēšana</w:t>
            </w:r>
          </w:p>
          <w:p w14:paraId="22E4628A" w14:textId="758FEFC3" w:rsidR="001E55E4" w:rsidRDefault="00AE1383" w:rsidP="00CC7E25">
            <w:pPr>
              <w:spacing w:after="120" w:line="240" w:lineRule="auto"/>
              <w:jc w:val="both"/>
              <w:rPr>
                <w:rFonts w:ascii="Times New Roman" w:eastAsia="Times New Roman" w:hAnsi="Times New Roman" w:cs="Times New Roman"/>
                <w:sz w:val="24"/>
                <w:szCs w:val="24"/>
              </w:rPr>
            </w:pPr>
            <w:r w:rsidRPr="00CC7B37">
              <w:rPr>
                <w:rFonts w:ascii="Times New Roman" w:eastAsia="Times New Roman" w:hAnsi="Times New Roman" w:cs="Times New Roman"/>
                <w:sz w:val="24"/>
                <w:szCs w:val="24"/>
              </w:rPr>
              <w:t>Direktīva</w:t>
            </w:r>
            <w:r>
              <w:rPr>
                <w:rFonts w:ascii="Times New Roman" w:eastAsia="Times New Roman" w:hAnsi="Times New Roman" w:cs="Times New Roman"/>
                <w:sz w:val="24"/>
                <w:szCs w:val="24"/>
              </w:rPr>
              <w:t>s</w:t>
            </w:r>
            <w:r w:rsidRPr="00CC7B37">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 </w:t>
            </w:r>
            <w:r w:rsidRPr="00CC7B37">
              <w:rPr>
                <w:rFonts w:ascii="Times New Roman" w:eastAsia="Times New Roman" w:hAnsi="Times New Roman" w:cs="Times New Roman"/>
                <w:sz w:val="24"/>
                <w:szCs w:val="24"/>
              </w:rPr>
              <w:t>2013/36/ES</w:t>
            </w:r>
            <w:r w:rsidRPr="00CC7B37" w:rsidDel="00CC7B37">
              <w:rPr>
                <w:rFonts w:ascii="Times New Roman" w:eastAsia="Times New Roman" w:hAnsi="Times New Roman" w:cs="Times New Roman"/>
                <w:sz w:val="24"/>
                <w:szCs w:val="24"/>
              </w:rPr>
              <w:t xml:space="preserve"> </w:t>
            </w:r>
            <w:r w:rsidRPr="0008534C">
              <w:rPr>
                <w:rFonts w:ascii="Times New Roman" w:eastAsia="Times New Roman" w:hAnsi="Times New Roman" w:cs="Times New Roman"/>
                <w:sz w:val="24"/>
                <w:szCs w:val="24"/>
              </w:rPr>
              <w:t>86.</w:t>
            </w:r>
            <w:r>
              <w:rPr>
                <w:rFonts w:ascii="Times New Roman" w:eastAsia="Times New Roman" w:hAnsi="Times New Roman" w:cs="Times New Roman"/>
                <w:sz w:val="24"/>
                <w:szCs w:val="24"/>
              </w:rPr>
              <w:t> </w:t>
            </w:r>
            <w:r w:rsidRPr="0008534C">
              <w:rPr>
                <w:rFonts w:ascii="Times New Roman" w:eastAsia="Times New Roman" w:hAnsi="Times New Roman" w:cs="Times New Roman"/>
                <w:sz w:val="24"/>
                <w:szCs w:val="24"/>
              </w:rPr>
              <w:t>pant</w:t>
            </w:r>
            <w:r>
              <w:rPr>
                <w:rFonts w:ascii="Times New Roman" w:eastAsia="Times New Roman" w:hAnsi="Times New Roman" w:cs="Times New Roman"/>
                <w:sz w:val="24"/>
                <w:szCs w:val="24"/>
              </w:rPr>
              <w:t>s nosaka likviditātes riska organizatoris</w:t>
            </w:r>
            <w:r w:rsidR="006858E6">
              <w:rPr>
                <w:rFonts w:ascii="Times New Roman" w:eastAsia="Times New Roman" w:hAnsi="Times New Roman" w:cs="Times New Roman"/>
                <w:sz w:val="24"/>
                <w:szCs w:val="24"/>
              </w:rPr>
              <w:t xml:space="preserve">kās pārvaldības prasības. </w:t>
            </w:r>
            <w:r w:rsidR="00E372A4">
              <w:rPr>
                <w:rFonts w:ascii="Times New Roman" w:eastAsia="Times New Roman" w:hAnsi="Times New Roman" w:cs="Times New Roman"/>
                <w:sz w:val="24"/>
                <w:szCs w:val="24"/>
              </w:rPr>
              <w:t xml:space="preserve">Savukārt </w:t>
            </w:r>
            <w:r w:rsidR="00E372A4" w:rsidRPr="00E372A4">
              <w:rPr>
                <w:rFonts w:ascii="Times New Roman" w:eastAsia="Times New Roman" w:hAnsi="Times New Roman" w:cs="Times New Roman"/>
                <w:sz w:val="24"/>
                <w:szCs w:val="24"/>
              </w:rPr>
              <w:t>Direktīva</w:t>
            </w:r>
            <w:r w:rsidR="00E372A4">
              <w:rPr>
                <w:rFonts w:ascii="Times New Roman" w:eastAsia="Times New Roman" w:hAnsi="Times New Roman" w:cs="Times New Roman"/>
                <w:sz w:val="24"/>
                <w:szCs w:val="24"/>
              </w:rPr>
              <w:t>s</w:t>
            </w:r>
            <w:r w:rsidR="00677613">
              <w:rPr>
                <w:rFonts w:ascii="Times New Roman" w:eastAsia="Times New Roman" w:hAnsi="Times New Roman" w:cs="Times New Roman"/>
                <w:sz w:val="24"/>
                <w:szCs w:val="24"/>
              </w:rPr>
              <w:t> </w:t>
            </w:r>
            <w:r w:rsidR="00E372A4" w:rsidRPr="00E372A4">
              <w:rPr>
                <w:rFonts w:ascii="Times New Roman" w:eastAsia="Times New Roman" w:hAnsi="Times New Roman" w:cs="Times New Roman"/>
                <w:sz w:val="24"/>
                <w:szCs w:val="24"/>
              </w:rPr>
              <w:t>2019/2034 62.</w:t>
            </w:r>
            <w:r w:rsidR="00E372A4">
              <w:rPr>
                <w:rFonts w:ascii="Times New Roman" w:eastAsia="Times New Roman" w:hAnsi="Times New Roman" w:cs="Times New Roman"/>
                <w:sz w:val="24"/>
                <w:szCs w:val="24"/>
              </w:rPr>
              <w:t> </w:t>
            </w:r>
            <w:r w:rsidR="00E372A4" w:rsidRPr="00E372A4">
              <w:rPr>
                <w:rFonts w:ascii="Times New Roman" w:eastAsia="Times New Roman" w:hAnsi="Times New Roman" w:cs="Times New Roman"/>
                <w:sz w:val="24"/>
                <w:szCs w:val="24"/>
              </w:rPr>
              <w:t>panta 15.</w:t>
            </w:r>
            <w:r w:rsidR="00E372A4">
              <w:rPr>
                <w:rFonts w:ascii="Times New Roman" w:eastAsia="Times New Roman" w:hAnsi="Times New Roman" w:cs="Times New Roman"/>
                <w:sz w:val="24"/>
                <w:szCs w:val="24"/>
              </w:rPr>
              <w:t> </w:t>
            </w:r>
            <w:r w:rsidR="00E372A4" w:rsidRPr="00E372A4">
              <w:rPr>
                <w:rFonts w:ascii="Times New Roman" w:eastAsia="Times New Roman" w:hAnsi="Times New Roman" w:cs="Times New Roman"/>
                <w:sz w:val="24"/>
                <w:szCs w:val="24"/>
              </w:rPr>
              <w:t>punkt</w:t>
            </w:r>
            <w:r w:rsidR="00E372A4">
              <w:rPr>
                <w:rFonts w:ascii="Times New Roman" w:eastAsia="Times New Roman" w:hAnsi="Times New Roman" w:cs="Times New Roman"/>
                <w:sz w:val="24"/>
                <w:szCs w:val="24"/>
              </w:rPr>
              <w:t xml:space="preserve">s izsaka jaunā redakcijā </w:t>
            </w:r>
            <w:r w:rsidR="00E372A4" w:rsidRPr="00CC7B37">
              <w:rPr>
                <w:rFonts w:ascii="Times New Roman" w:eastAsia="Times New Roman" w:hAnsi="Times New Roman" w:cs="Times New Roman"/>
                <w:sz w:val="24"/>
                <w:szCs w:val="24"/>
              </w:rPr>
              <w:t>Direktīva</w:t>
            </w:r>
            <w:r w:rsidR="00E372A4">
              <w:rPr>
                <w:rFonts w:ascii="Times New Roman" w:eastAsia="Times New Roman" w:hAnsi="Times New Roman" w:cs="Times New Roman"/>
                <w:sz w:val="24"/>
                <w:szCs w:val="24"/>
              </w:rPr>
              <w:t>s</w:t>
            </w:r>
            <w:r w:rsidR="00E372A4" w:rsidRPr="00CC7B37">
              <w:rPr>
                <w:rFonts w:ascii="Times New Roman" w:eastAsia="Times New Roman" w:hAnsi="Times New Roman" w:cs="Times New Roman"/>
                <w:sz w:val="24"/>
                <w:szCs w:val="24"/>
              </w:rPr>
              <w:t xml:space="preserve"> Nr.</w:t>
            </w:r>
            <w:r w:rsidR="00E372A4">
              <w:rPr>
                <w:rFonts w:ascii="Times New Roman" w:eastAsia="Times New Roman" w:hAnsi="Times New Roman" w:cs="Times New Roman"/>
                <w:sz w:val="24"/>
                <w:szCs w:val="24"/>
              </w:rPr>
              <w:t> </w:t>
            </w:r>
            <w:r w:rsidR="00E372A4" w:rsidRPr="00CC7B37">
              <w:rPr>
                <w:rFonts w:ascii="Times New Roman" w:eastAsia="Times New Roman" w:hAnsi="Times New Roman" w:cs="Times New Roman"/>
                <w:sz w:val="24"/>
                <w:szCs w:val="24"/>
              </w:rPr>
              <w:t>2013/36/ES</w:t>
            </w:r>
            <w:r w:rsidR="00E372A4" w:rsidRPr="00CC7B37" w:rsidDel="00CC7B37">
              <w:rPr>
                <w:rFonts w:ascii="Times New Roman" w:eastAsia="Times New Roman" w:hAnsi="Times New Roman" w:cs="Times New Roman"/>
                <w:sz w:val="24"/>
                <w:szCs w:val="24"/>
              </w:rPr>
              <w:t xml:space="preserve"> </w:t>
            </w:r>
            <w:r w:rsidR="00E372A4" w:rsidRPr="0008534C">
              <w:rPr>
                <w:rFonts w:ascii="Times New Roman" w:eastAsia="Times New Roman" w:hAnsi="Times New Roman" w:cs="Times New Roman"/>
                <w:sz w:val="24"/>
                <w:szCs w:val="24"/>
              </w:rPr>
              <w:t>86.</w:t>
            </w:r>
            <w:r w:rsidR="00E372A4">
              <w:rPr>
                <w:rFonts w:ascii="Times New Roman" w:eastAsia="Times New Roman" w:hAnsi="Times New Roman" w:cs="Times New Roman"/>
                <w:sz w:val="24"/>
                <w:szCs w:val="24"/>
              </w:rPr>
              <w:t> </w:t>
            </w:r>
            <w:r w:rsidR="00E372A4" w:rsidRPr="0008534C">
              <w:rPr>
                <w:rFonts w:ascii="Times New Roman" w:eastAsia="Times New Roman" w:hAnsi="Times New Roman" w:cs="Times New Roman"/>
                <w:sz w:val="24"/>
                <w:szCs w:val="24"/>
              </w:rPr>
              <w:t>pant</w:t>
            </w:r>
            <w:r w:rsidR="00E372A4">
              <w:rPr>
                <w:rFonts w:ascii="Times New Roman" w:eastAsia="Times New Roman" w:hAnsi="Times New Roman" w:cs="Times New Roman"/>
                <w:sz w:val="24"/>
                <w:szCs w:val="24"/>
              </w:rPr>
              <w:t xml:space="preserve">a 11. punktu. </w:t>
            </w:r>
            <w:r w:rsidR="00DB1934" w:rsidRPr="00D45853">
              <w:rPr>
                <w:rFonts w:ascii="Times New Roman" w:eastAsia="Times New Roman" w:hAnsi="Times New Roman" w:cs="Times New Roman"/>
                <w:sz w:val="24"/>
                <w:szCs w:val="24"/>
              </w:rPr>
              <w:t>Noteikum</w:t>
            </w:r>
            <w:r w:rsidR="00CC7B37">
              <w:rPr>
                <w:rFonts w:ascii="Times New Roman" w:eastAsia="Times New Roman" w:hAnsi="Times New Roman" w:cs="Times New Roman"/>
                <w:sz w:val="24"/>
                <w:szCs w:val="24"/>
              </w:rPr>
              <w:t>u projekts</w:t>
            </w:r>
            <w:r w:rsidR="00C1503D" w:rsidRPr="006E4B12">
              <w:rPr>
                <w:rFonts w:ascii="Times New Roman" w:eastAsia="Times New Roman" w:hAnsi="Times New Roman" w:cs="Times New Roman"/>
                <w:sz w:val="24"/>
                <w:szCs w:val="24"/>
              </w:rPr>
              <w:t xml:space="preserve"> nodrošin</w:t>
            </w:r>
            <w:r w:rsidR="00C1503D" w:rsidRPr="00C1503D">
              <w:rPr>
                <w:rFonts w:ascii="Times New Roman" w:eastAsia="Times New Roman" w:hAnsi="Times New Roman" w:cs="Times New Roman"/>
                <w:sz w:val="24"/>
                <w:szCs w:val="24"/>
              </w:rPr>
              <w:t>a</w:t>
            </w:r>
            <w:r w:rsidR="00C1503D" w:rsidRPr="00D45853">
              <w:rPr>
                <w:rFonts w:ascii="Times New Roman" w:eastAsia="Times New Roman" w:hAnsi="Times New Roman" w:cs="Times New Roman"/>
                <w:sz w:val="24"/>
                <w:szCs w:val="24"/>
              </w:rPr>
              <w:t xml:space="preserve"> </w:t>
            </w:r>
            <w:r w:rsidR="00CC7B37" w:rsidRPr="00CC7B37">
              <w:rPr>
                <w:rFonts w:ascii="Times New Roman" w:eastAsia="Times New Roman" w:hAnsi="Times New Roman" w:cs="Times New Roman"/>
                <w:sz w:val="24"/>
                <w:szCs w:val="24"/>
              </w:rPr>
              <w:t>Direktīva</w:t>
            </w:r>
            <w:r w:rsidR="00CC7B37">
              <w:rPr>
                <w:rFonts w:ascii="Times New Roman" w:eastAsia="Times New Roman" w:hAnsi="Times New Roman" w:cs="Times New Roman"/>
                <w:sz w:val="24"/>
                <w:szCs w:val="24"/>
              </w:rPr>
              <w:t>s</w:t>
            </w:r>
            <w:r w:rsidR="00CC7B37" w:rsidRPr="00CC7B37">
              <w:rPr>
                <w:rFonts w:ascii="Times New Roman" w:eastAsia="Times New Roman" w:hAnsi="Times New Roman" w:cs="Times New Roman"/>
                <w:sz w:val="24"/>
                <w:szCs w:val="24"/>
              </w:rPr>
              <w:t xml:space="preserve"> Nr.</w:t>
            </w:r>
            <w:r w:rsidR="00CC7B37">
              <w:rPr>
                <w:rFonts w:ascii="Times New Roman" w:eastAsia="Times New Roman" w:hAnsi="Times New Roman" w:cs="Times New Roman"/>
                <w:sz w:val="24"/>
                <w:szCs w:val="24"/>
              </w:rPr>
              <w:t> </w:t>
            </w:r>
            <w:r w:rsidR="00CC7B37" w:rsidRPr="00CC7B37">
              <w:rPr>
                <w:rFonts w:ascii="Times New Roman" w:eastAsia="Times New Roman" w:hAnsi="Times New Roman" w:cs="Times New Roman"/>
                <w:sz w:val="24"/>
                <w:szCs w:val="24"/>
              </w:rPr>
              <w:t>2013/36/ES</w:t>
            </w:r>
            <w:r w:rsidR="00CC7B37" w:rsidRPr="00CC7B37" w:rsidDel="00CC7B37">
              <w:rPr>
                <w:rFonts w:ascii="Times New Roman" w:eastAsia="Times New Roman" w:hAnsi="Times New Roman" w:cs="Times New Roman"/>
                <w:sz w:val="24"/>
                <w:szCs w:val="24"/>
              </w:rPr>
              <w:t xml:space="preserve"> </w:t>
            </w:r>
            <w:r w:rsidR="00DB1934" w:rsidRPr="0008534C">
              <w:rPr>
                <w:rFonts w:ascii="Times New Roman" w:eastAsia="Times New Roman" w:hAnsi="Times New Roman" w:cs="Times New Roman"/>
                <w:sz w:val="24"/>
                <w:szCs w:val="24"/>
              </w:rPr>
              <w:t>86.</w:t>
            </w:r>
            <w:r w:rsidR="001F3BDD">
              <w:rPr>
                <w:rFonts w:ascii="Times New Roman" w:eastAsia="Times New Roman" w:hAnsi="Times New Roman" w:cs="Times New Roman"/>
                <w:sz w:val="24"/>
                <w:szCs w:val="24"/>
              </w:rPr>
              <w:t> </w:t>
            </w:r>
            <w:r w:rsidR="00DB1934" w:rsidRPr="0008534C">
              <w:rPr>
                <w:rFonts w:ascii="Times New Roman" w:eastAsia="Times New Roman" w:hAnsi="Times New Roman" w:cs="Times New Roman"/>
                <w:sz w:val="24"/>
                <w:szCs w:val="24"/>
              </w:rPr>
              <w:t xml:space="preserve">panta </w:t>
            </w:r>
            <w:r w:rsidR="00E372A4">
              <w:rPr>
                <w:rFonts w:ascii="Times New Roman" w:eastAsia="Times New Roman" w:hAnsi="Times New Roman" w:cs="Times New Roman"/>
                <w:sz w:val="24"/>
                <w:szCs w:val="24"/>
              </w:rPr>
              <w:t xml:space="preserve">un </w:t>
            </w:r>
            <w:r w:rsidR="00E372A4" w:rsidRPr="00314AC9">
              <w:rPr>
                <w:rFonts w:ascii="Times New Roman" w:eastAsia="Times New Roman" w:hAnsi="Times New Roman" w:cs="Times New Roman"/>
                <w:sz w:val="24"/>
                <w:szCs w:val="24"/>
              </w:rPr>
              <w:t>Direktīvas</w:t>
            </w:r>
            <w:r w:rsidR="00CF7D64">
              <w:rPr>
                <w:rFonts w:ascii="Times New Roman" w:eastAsia="Times New Roman" w:hAnsi="Times New Roman" w:cs="Times New Roman"/>
                <w:sz w:val="24"/>
                <w:szCs w:val="24"/>
              </w:rPr>
              <w:t> </w:t>
            </w:r>
            <w:r w:rsidR="00E372A4" w:rsidRPr="00314AC9">
              <w:rPr>
                <w:rFonts w:ascii="Times New Roman" w:eastAsia="Times New Roman" w:hAnsi="Times New Roman" w:cs="Times New Roman"/>
                <w:sz w:val="24"/>
                <w:szCs w:val="24"/>
              </w:rPr>
              <w:t xml:space="preserve">2019/2034 62. panta 15. punkta prasību </w:t>
            </w:r>
            <w:r w:rsidR="001F3BDD" w:rsidRPr="00314AC9">
              <w:rPr>
                <w:rFonts w:ascii="Times New Roman" w:eastAsia="Times New Roman" w:hAnsi="Times New Roman" w:cs="Times New Roman"/>
                <w:sz w:val="24"/>
                <w:szCs w:val="24"/>
              </w:rPr>
              <w:t>pārņemšanu</w:t>
            </w:r>
            <w:r w:rsidR="00DB1934" w:rsidRPr="00314AC9">
              <w:rPr>
                <w:rFonts w:ascii="Times New Roman" w:eastAsia="Times New Roman" w:hAnsi="Times New Roman" w:cs="Times New Roman"/>
                <w:sz w:val="24"/>
                <w:szCs w:val="24"/>
              </w:rPr>
              <w:t xml:space="preserve"> Latvijas nacionālajos tiesību aktos</w:t>
            </w:r>
            <w:r w:rsidR="00C1503D" w:rsidRPr="00314AC9">
              <w:rPr>
                <w:rFonts w:ascii="Times New Roman" w:eastAsia="Times New Roman" w:hAnsi="Times New Roman" w:cs="Times New Roman"/>
                <w:sz w:val="24"/>
                <w:szCs w:val="24"/>
              </w:rPr>
              <w:t xml:space="preserve">, </w:t>
            </w:r>
            <w:r w:rsidR="00E7042C" w:rsidRPr="00314AC9">
              <w:rPr>
                <w:rFonts w:ascii="Times New Roman" w:eastAsia="Times New Roman" w:hAnsi="Times New Roman" w:cs="Times New Roman"/>
                <w:sz w:val="24"/>
                <w:szCs w:val="24"/>
              </w:rPr>
              <w:t>ievēro</w:t>
            </w:r>
            <w:r w:rsidR="00C668FF" w:rsidRPr="00314AC9">
              <w:rPr>
                <w:rFonts w:ascii="Times New Roman" w:eastAsia="Times New Roman" w:hAnsi="Times New Roman" w:cs="Times New Roman"/>
                <w:sz w:val="24"/>
                <w:szCs w:val="24"/>
              </w:rPr>
              <w:t>jot arī</w:t>
            </w:r>
            <w:r w:rsidR="00E7042C" w:rsidRPr="00314AC9">
              <w:rPr>
                <w:rFonts w:ascii="Times New Roman" w:eastAsia="Times New Roman" w:hAnsi="Times New Roman" w:cs="Times New Roman"/>
                <w:sz w:val="24"/>
                <w:szCs w:val="24"/>
              </w:rPr>
              <w:t xml:space="preserve"> </w:t>
            </w:r>
            <w:r w:rsidR="0033540F" w:rsidRPr="00314AC9">
              <w:rPr>
                <w:rFonts w:ascii="Times New Roman" w:eastAsia="Times New Roman" w:hAnsi="Times New Roman" w:cs="Times New Roman"/>
                <w:sz w:val="24"/>
                <w:szCs w:val="24"/>
              </w:rPr>
              <w:t xml:space="preserve">rekomendācijas, kas bija ietvertas </w:t>
            </w:r>
            <w:r w:rsidR="00C1503D" w:rsidRPr="00314AC9">
              <w:rPr>
                <w:rFonts w:ascii="Times New Roman" w:eastAsia="Times New Roman" w:hAnsi="Times New Roman" w:cs="Times New Roman"/>
                <w:sz w:val="24"/>
                <w:szCs w:val="24"/>
              </w:rPr>
              <w:t xml:space="preserve">Eiropas Banku uzraudzības komitejas </w:t>
            </w:r>
            <w:r w:rsidR="00E7042C" w:rsidRPr="00314AC9">
              <w:rPr>
                <w:rFonts w:ascii="Times New Roman" w:eastAsia="Times New Roman" w:hAnsi="Times New Roman" w:cs="Times New Roman"/>
                <w:sz w:val="24"/>
                <w:szCs w:val="24"/>
              </w:rPr>
              <w:t>2008. gada 18. septembra</w:t>
            </w:r>
            <w:r w:rsidR="00675332" w:rsidRPr="00314AC9">
              <w:rPr>
                <w:rFonts w:ascii="Times New Roman" w:eastAsia="Times New Roman" w:hAnsi="Times New Roman" w:cs="Times New Roman"/>
                <w:sz w:val="24"/>
                <w:szCs w:val="24"/>
              </w:rPr>
              <w:t xml:space="preserve"> dokumentā Nr. CEBS 2008 147 </w:t>
            </w:r>
            <w:r w:rsidR="00C1503D" w:rsidRPr="00314AC9">
              <w:rPr>
                <w:rFonts w:ascii="Times New Roman" w:eastAsia="Times New Roman" w:hAnsi="Times New Roman" w:cs="Times New Roman"/>
                <w:sz w:val="24"/>
                <w:szCs w:val="24"/>
              </w:rPr>
              <w:t>"</w:t>
            </w:r>
            <w:r w:rsidR="00675332" w:rsidRPr="00314AC9">
              <w:rPr>
                <w:rFonts w:ascii="Times New Roman" w:eastAsia="Times New Roman" w:hAnsi="Times New Roman" w:cs="Times New Roman"/>
                <w:sz w:val="24"/>
                <w:szCs w:val="24"/>
              </w:rPr>
              <w:t xml:space="preserve">Otrā daļa </w:t>
            </w:r>
            <w:r w:rsidR="00A87CBC" w:rsidRPr="00314AC9">
              <w:rPr>
                <w:rFonts w:ascii="Times New Roman" w:eastAsia="Times New Roman" w:hAnsi="Times New Roman" w:cs="Times New Roman"/>
                <w:sz w:val="24"/>
                <w:szCs w:val="24"/>
              </w:rPr>
              <w:t>EBUK</w:t>
            </w:r>
            <w:r w:rsidR="00675332" w:rsidRPr="00314AC9">
              <w:rPr>
                <w:rFonts w:ascii="Times New Roman" w:eastAsia="Times New Roman" w:hAnsi="Times New Roman" w:cs="Times New Roman"/>
                <w:sz w:val="24"/>
                <w:szCs w:val="24"/>
              </w:rPr>
              <w:t xml:space="preserve"> tehniskajām konsultācijām Eiropas </w:t>
            </w:r>
            <w:r w:rsidR="00A87CBC" w:rsidRPr="00314AC9">
              <w:rPr>
                <w:rFonts w:ascii="Times New Roman" w:eastAsia="Times New Roman" w:hAnsi="Times New Roman" w:cs="Times New Roman"/>
                <w:sz w:val="24"/>
                <w:szCs w:val="24"/>
              </w:rPr>
              <w:t>K</w:t>
            </w:r>
            <w:r w:rsidR="00675332" w:rsidRPr="00314AC9">
              <w:rPr>
                <w:rFonts w:ascii="Times New Roman" w:eastAsia="Times New Roman" w:hAnsi="Times New Roman" w:cs="Times New Roman"/>
                <w:sz w:val="24"/>
                <w:szCs w:val="24"/>
              </w:rPr>
              <w:t>omisijai par likviditātes riska pārvaldību</w:t>
            </w:r>
            <w:r w:rsidR="00C1503D" w:rsidRPr="00314AC9">
              <w:rPr>
                <w:rFonts w:ascii="Times New Roman" w:eastAsia="Times New Roman" w:hAnsi="Times New Roman" w:cs="Times New Roman"/>
                <w:sz w:val="24"/>
                <w:szCs w:val="24"/>
              </w:rPr>
              <w:t>"</w:t>
            </w:r>
            <w:r w:rsidR="001F3BDD" w:rsidRPr="00314AC9">
              <w:rPr>
                <w:rStyle w:val="FootnoteReference"/>
                <w:rFonts w:ascii="Times New Roman" w:eastAsia="Times New Roman" w:hAnsi="Times New Roman" w:cs="Times New Roman"/>
                <w:sz w:val="24"/>
                <w:szCs w:val="24"/>
              </w:rPr>
              <w:footnoteReference w:id="1"/>
            </w:r>
            <w:r w:rsidR="002E22F2" w:rsidRPr="00314AC9">
              <w:rPr>
                <w:rFonts w:ascii="Times New Roman" w:eastAsia="Times New Roman" w:hAnsi="Times New Roman" w:cs="Times New Roman"/>
                <w:sz w:val="24"/>
                <w:szCs w:val="24"/>
              </w:rPr>
              <w:t xml:space="preserve"> (turpmāk – </w:t>
            </w:r>
            <w:r w:rsidR="00675332" w:rsidRPr="00DF041E">
              <w:rPr>
                <w:rFonts w:ascii="Times New Roman" w:eastAsia="Times New Roman" w:hAnsi="Times New Roman" w:cs="Times New Roman"/>
                <w:sz w:val="24"/>
                <w:szCs w:val="24"/>
              </w:rPr>
              <w:t>EBUK</w:t>
            </w:r>
            <w:r w:rsidR="00675332" w:rsidRPr="00314AC9">
              <w:rPr>
                <w:rFonts w:ascii="Times New Roman" w:eastAsia="Times New Roman" w:hAnsi="Times New Roman" w:cs="Times New Roman"/>
                <w:sz w:val="24"/>
                <w:szCs w:val="24"/>
              </w:rPr>
              <w:t xml:space="preserve"> rekomendācijas</w:t>
            </w:r>
            <w:r w:rsidR="002E22F2" w:rsidRPr="00314AC9">
              <w:rPr>
                <w:rFonts w:ascii="Times New Roman" w:eastAsia="Times New Roman" w:hAnsi="Times New Roman" w:cs="Times New Roman"/>
                <w:sz w:val="24"/>
                <w:szCs w:val="24"/>
              </w:rPr>
              <w:t>)</w:t>
            </w:r>
            <w:r w:rsidR="00DB1934" w:rsidRPr="00314AC9">
              <w:rPr>
                <w:rFonts w:ascii="Times New Roman" w:eastAsia="Times New Roman" w:hAnsi="Times New Roman" w:cs="Times New Roman"/>
                <w:sz w:val="24"/>
                <w:szCs w:val="24"/>
              </w:rPr>
              <w:t>.</w:t>
            </w:r>
            <w:r w:rsidR="00BA5682" w:rsidRPr="00314AC9">
              <w:rPr>
                <w:rFonts w:ascii="Times New Roman" w:eastAsia="Times New Roman" w:hAnsi="Times New Roman" w:cs="Times New Roman"/>
                <w:sz w:val="24"/>
                <w:szCs w:val="24"/>
              </w:rPr>
              <w:t xml:space="preserve"> Detalizētāka informācija par </w:t>
            </w:r>
            <w:r w:rsidR="004530CB" w:rsidRPr="00651F7B">
              <w:rPr>
                <w:rFonts w:ascii="Times New Roman" w:eastAsia="Times New Roman" w:hAnsi="Times New Roman" w:cs="Times New Roman"/>
                <w:sz w:val="24"/>
                <w:szCs w:val="24"/>
              </w:rPr>
              <w:t xml:space="preserve">direktīvu </w:t>
            </w:r>
            <w:r w:rsidR="00BA5682" w:rsidRPr="00651F7B">
              <w:rPr>
                <w:rFonts w:ascii="Times New Roman" w:eastAsia="Times New Roman" w:hAnsi="Times New Roman" w:cs="Times New Roman"/>
                <w:sz w:val="24"/>
                <w:szCs w:val="24"/>
              </w:rPr>
              <w:t>transpo</w:t>
            </w:r>
            <w:r w:rsidR="00651F7B" w:rsidRPr="00651F7B">
              <w:rPr>
                <w:rFonts w:ascii="Times New Roman" w:eastAsia="Times New Roman" w:hAnsi="Times New Roman" w:cs="Times New Roman"/>
                <w:sz w:val="24"/>
                <w:szCs w:val="24"/>
              </w:rPr>
              <w:t>nēšanu</w:t>
            </w:r>
            <w:r w:rsidR="00BA5682" w:rsidRPr="00651F7B">
              <w:rPr>
                <w:rFonts w:ascii="Times New Roman" w:eastAsia="Times New Roman" w:hAnsi="Times New Roman" w:cs="Times New Roman"/>
                <w:sz w:val="24"/>
                <w:szCs w:val="24"/>
              </w:rPr>
              <w:t xml:space="preserve"> ietverta anotācijas pielikumā.</w:t>
            </w:r>
          </w:p>
          <w:p w14:paraId="4016B6F3" w14:textId="4FA8DF84" w:rsidR="005D3661" w:rsidRPr="00CC7B37" w:rsidRDefault="00B72828" w:rsidP="00677613">
            <w:pPr>
              <w:spacing w:after="120" w:line="240" w:lineRule="auto"/>
              <w:jc w:val="both"/>
              <w:rPr>
                <w:rFonts w:ascii="Times New Roman" w:hAnsi="Times New Roman" w:cs="Times New Roman"/>
                <w:b/>
                <w:bCs/>
                <w:sz w:val="24"/>
                <w:szCs w:val="24"/>
              </w:rPr>
            </w:pPr>
            <w:r w:rsidRPr="00CC7B37">
              <w:rPr>
                <w:rFonts w:ascii="Times New Roman" w:hAnsi="Times New Roman" w:cs="Times New Roman"/>
                <w:b/>
                <w:bCs/>
                <w:sz w:val="24"/>
                <w:szCs w:val="24"/>
              </w:rPr>
              <w:t xml:space="preserve">EBI </w:t>
            </w:r>
            <w:r w:rsidR="003654D7">
              <w:rPr>
                <w:rFonts w:ascii="Times New Roman" w:hAnsi="Times New Roman" w:cs="Times New Roman"/>
                <w:b/>
                <w:bCs/>
                <w:sz w:val="24"/>
                <w:szCs w:val="24"/>
              </w:rPr>
              <w:t>pamatnostādņu</w:t>
            </w:r>
            <w:r w:rsidRPr="00CC7B37">
              <w:rPr>
                <w:rFonts w:ascii="Times New Roman" w:hAnsi="Times New Roman" w:cs="Times New Roman"/>
                <w:b/>
                <w:bCs/>
                <w:sz w:val="24"/>
                <w:szCs w:val="24"/>
              </w:rPr>
              <w:t xml:space="preserve"> ieviešana</w:t>
            </w:r>
          </w:p>
          <w:p w14:paraId="016BBC61" w14:textId="20EF2501" w:rsidR="00B73872" w:rsidRPr="00472784" w:rsidRDefault="00B73872" w:rsidP="00CC7E25">
            <w:pPr>
              <w:pStyle w:val="ListParagraph"/>
              <w:numPr>
                <w:ilvl w:val="0"/>
                <w:numId w:val="13"/>
              </w:numPr>
              <w:tabs>
                <w:tab w:val="left" w:pos="383"/>
              </w:tabs>
              <w:spacing w:after="120" w:line="240" w:lineRule="auto"/>
              <w:ind w:left="0" w:firstLine="0"/>
              <w:jc w:val="both"/>
              <w:rPr>
                <w:rFonts w:ascii="Times New Roman" w:hAnsi="Times New Roman" w:cs="Times New Roman"/>
                <w:sz w:val="24"/>
                <w:szCs w:val="24"/>
              </w:rPr>
            </w:pPr>
            <w:r w:rsidRPr="00472784">
              <w:rPr>
                <w:rFonts w:ascii="Times New Roman" w:hAnsi="Times New Roman" w:cs="Times New Roman"/>
                <w:sz w:val="24"/>
                <w:szCs w:val="24"/>
              </w:rPr>
              <w:t>Kredītiestāžu likuma 101.</w:t>
            </w:r>
            <w:r w:rsidRPr="00472784">
              <w:rPr>
                <w:rFonts w:ascii="Times New Roman" w:hAnsi="Times New Roman" w:cs="Times New Roman"/>
                <w:sz w:val="24"/>
                <w:szCs w:val="24"/>
                <w:vertAlign w:val="superscript"/>
              </w:rPr>
              <w:t>3 </w:t>
            </w:r>
            <w:r w:rsidRPr="00472784">
              <w:rPr>
                <w:rFonts w:ascii="Times New Roman" w:hAnsi="Times New Roman" w:cs="Times New Roman"/>
                <w:sz w:val="24"/>
                <w:szCs w:val="24"/>
              </w:rPr>
              <w:t xml:space="preserve">panta pirmā daļa paredz, ka Latvijas Banka pārbauda kredītiestādes stratēģiju, procedūras un pasākumus, ko tā īstenojusi, lai ievērotu šā likuma, citu normatīvo aktu, tieši piemērojamo Eiropas Savienības normatīvo aktu un Latvijas Bankas izdoto noteikumu un pieņemto lēmumu prasības. Saskaņā ar </w:t>
            </w:r>
            <w:r w:rsidRPr="00472784">
              <w:rPr>
                <w:rFonts w:ascii="Times New Roman" w:hAnsi="Times New Roman" w:cs="Times New Roman"/>
                <w:sz w:val="24"/>
                <w:szCs w:val="24"/>
              </w:rPr>
              <w:lastRenderedPageBreak/>
              <w:t>Kredītiestāžu likuma 101.</w:t>
            </w:r>
            <w:r w:rsidRPr="00472784">
              <w:rPr>
                <w:rFonts w:ascii="Times New Roman" w:hAnsi="Times New Roman" w:cs="Times New Roman"/>
                <w:sz w:val="24"/>
                <w:szCs w:val="24"/>
                <w:vertAlign w:val="superscript"/>
              </w:rPr>
              <w:t>3 </w:t>
            </w:r>
            <w:r w:rsidRPr="00472784">
              <w:rPr>
                <w:rFonts w:ascii="Times New Roman" w:hAnsi="Times New Roman" w:cs="Times New Roman"/>
                <w:sz w:val="24"/>
                <w:szCs w:val="24"/>
              </w:rPr>
              <w:t>panta trešo daļu, pamatojoties uz veikto pārbaudi un novērtējumu, Latvijas Banka lemj, vai kredītiestādes stratēģija, procedūras un īstenotie pasākumi nodrošina pietiekamu risku pārvaldīšanu un vai kredītiestādes likviditāte ir pietiekama tās darbībai piemītošo un varbūtējo risku segšanai.</w:t>
            </w:r>
          </w:p>
          <w:p w14:paraId="2AF3C4F0" w14:textId="2A6B9C90" w:rsidR="005D3661" w:rsidRPr="00005BDC" w:rsidRDefault="005D3661" w:rsidP="00677613">
            <w:pPr>
              <w:spacing w:after="120" w:line="240" w:lineRule="auto"/>
              <w:jc w:val="both"/>
              <w:rPr>
                <w:rFonts w:ascii="Times New Roman" w:hAnsi="Times New Roman" w:cs="Times New Roman"/>
                <w:sz w:val="24"/>
                <w:szCs w:val="24"/>
              </w:rPr>
            </w:pPr>
            <w:r w:rsidRPr="00005BDC">
              <w:rPr>
                <w:rFonts w:ascii="Times New Roman" w:hAnsi="Times New Roman" w:cs="Times New Roman"/>
                <w:sz w:val="24"/>
                <w:szCs w:val="24"/>
              </w:rPr>
              <w:t>Pamatnostādnes par SREP nosaka metodoloģiju uzraudzības pārbaudes un novērtēšanas procesam, kas Latvijas Bankai jāveic saskaņā ar Kredītiestāžu likuma 101.</w:t>
            </w:r>
            <w:r w:rsidRPr="00005BDC">
              <w:rPr>
                <w:rFonts w:ascii="Times New Roman" w:hAnsi="Times New Roman" w:cs="Times New Roman"/>
                <w:sz w:val="24"/>
                <w:szCs w:val="24"/>
                <w:vertAlign w:val="superscript"/>
              </w:rPr>
              <w:t>3 </w:t>
            </w:r>
            <w:r w:rsidRPr="00005BDC">
              <w:rPr>
                <w:rFonts w:ascii="Times New Roman" w:hAnsi="Times New Roman" w:cs="Times New Roman"/>
                <w:sz w:val="24"/>
                <w:szCs w:val="24"/>
              </w:rPr>
              <w:t xml:space="preserve">panta prasībām. </w:t>
            </w:r>
          </w:p>
          <w:p w14:paraId="10962BD2" w14:textId="2DEE0081" w:rsidR="009711D8" w:rsidRDefault="009711D8" w:rsidP="006776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Lai nodrošinātu </w:t>
            </w:r>
            <w:r w:rsidRPr="00005BDC">
              <w:rPr>
                <w:rFonts w:ascii="Times New Roman" w:hAnsi="Times New Roman" w:cs="Times New Roman"/>
                <w:sz w:val="24"/>
                <w:szCs w:val="24"/>
              </w:rPr>
              <w:t>Pamatnostādn</w:t>
            </w:r>
            <w:r>
              <w:rPr>
                <w:rFonts w:ascii="Times New Roman" w:hAnsi="Times New Roman" w:cs="Times New Roman"/>
                <w:sz w:val="24"/>
                <w:szCs w:val="24"/>
              </w:rPr>
              <w:t xml:space="preserve">ēs </w:t>
            </w:r>
            <w:r w:rsidRPr="00005BDC">
              <w:rPr>
                <w:rFonts w:ascii="Times New Roman" w:hAnsi="Times New Roman" w:cs="Times New Roman"/>
                <w:sz w:val="24"/>
                <w:szCs w:val="24"/>
              </w:rPr>
              <w:t>par SREP</w:t>
            </w:r>
            <w:r>
              <w:rPr>
                <w:rFonts w:ascii="Times New Roman" w:hAnsi="Times New Roman" w:cs="Times New Roman"/>
                <w:sz w:val="24"/>
                <w:szCs w:val="24"/>
              </w:rPr>
              <w:t xml:space="preserve"> paredzēto prasību izpildi, Noteikumu projekt</w:t>
            </w:r>
            <w:r w:rsidR="0029333D">
              <w:rPr>
                <w:rFonts w:ascii="Times New Roman" w:hAnsi="Times New Roman" w:cs="Times New Roman"/>
                <w:sz w:val="24"/>
                <w:szCs w:val="24"/>
              </w:rPr>
              <w:t xml:space="preserve">ā </w:t>
            </w:r>
            <w:r w:rsidR="00677613">
              <w:rPr>
                <w:rFonts w:ascii="Times New Roman" w:hAnsi="Times New Roman" w:cs="Times New Roman"/>
                <w:sz w:val="24"/>
                <w:szCs w:val="24"/>
              </w:rPr>
              <w:t xml:space="preserve">noteikti </w:t>
            </w:r>
            <w:r w:rsidR="0029333D">
              <w:rPr>
                <w:rFonts w:ascii="Times New Roman" w:hAnsi="Times New Roman" w:cs="Times New Roman"/>
                <w:sz w:val="24"/>
                <w:szCs w:val="24"/>
              </w:rPr>
              <w:t>likviditātes</w:t>
            </w:r>
            <w:r w:rsidR="0029333D" w:rsidRPr="008770CE">
              <w:rPr>
                <w:rFonts w:ascii="Times New Roman" w:hAnsi="Times New Roman" w:cs="Times New Roman"/>
                <w:sz w:val="24"/>
                <w:szCs w:val="24"/>
              </w:rPr>
              <w:t xml:space="preserve"> pietiekamības novērtēšanas procesa izveides vispārēj</w:t>
            </w:r>
            <w:r w:rsidR="0029333D">
              <w:rPr>
                <w:rFonts w:ascii="Times New Roman" w:hAnsi="Times New Roman" w:cs="Times New Roman"/>
                <w:sz w:val="24"/>
                <w:szCs w:val="24"/>
              </w:rPr>
              <w:t>ie</w:t>
            </w:r>
            <w:r w:rsidR="0029333D" w:rsidRPr="008770CE">
              <w:rPr>
                <w:rFonts w:ascii="Times New Roman" w:hAnsi="Times New Roman" w:cs="Times New Roman"/>
                <w:sz w:val="24"/>
                <w:szCs w:val="24"/>
              </w:rPr>
              <w:t xml:space="preserve"> princip</w:t>
            </w:r>
            <w:r w:rsidR="0029333D">
              <w:rPr>
                <w:rFonts w:ascii="Times New Roman" w:hAnsi="Times New Roman" w:cs="Times New Roman"/>
                <w:sz w:val="24"/>
                <w:szCs w:val="24"/>
              </w:rPr>
              <w:t>i un</w:t>
            </w:r>
            <w:r w:rsidR="0029333D" w:rsidRPr="008770CE">
              <w:rPr>
                <w:rFonts w:ascii="Times New Roman" w:hAnsi="Times New Roman" w:cs="Times New Roman"/>
                <w:sz w:val="24"/>
                <w:szCs w:val="24"/>
              </w:rPr>
              <w:t xml:space="preserve"> </w:t>
            </w:r>
            <w:r w:rsidR="0029333D">
              <w:rPr>
                <w:rFonts w:ascii="Times New Roman" w:hAnsi="Times New Roman" w:cs="Times New Roman"/>
                <w:sz w:val="24"/>
                <w:szCs w:val="24"/>
              </w:rPr>
              <w:t>likviditātes</w:t>
            </w:r>
            <w:r w:rsidR="0029333D" w:rsidRPr="008770CE">
              <w:rPr>
                <w:rFonts w:ascii="Times New Roman" w:hAnsi="Times New Roman" w:cs="Times New Roman"/>
                <w:sz w:val="24"/>
                <w:szCs w:val="24"/>
              </w:rPr>
              <w:t xml:space="preserve"> pietiekamības novērtēšanas procesa </w:t>
            </w:r>
            <w:r w:rsidR="0029333D">
              <w:rPr>
                <w:rFonts w:ascii="Times New Roman" w:hAnsi="Times New Roman" w:cs="Times New Roman"/>
                <w:sz w:val="24"/>
                <w:szCs w:val="24"/>
              </w:rPr>
              <w:t>īstenošanas prasības.</w:t>
            </w:r>
          </w:p>
          <w:p w14:paraId="326C0145" w14:textId="7D620445" w:rsidR="00BF04C7" w:rsidRPr="004F0103" w:rsidRDefault="00BF04C7" w:rsidP="00677613">
            <w:pPr>
              <w:spacing w:after="120" w:line="240" w:lineRule="auto"/>
              <w:jc w:val="both"/>
              <w:rPr>
                <w:rFonts w:ascii="Times New Roman" w:eastAsia="Times New Roman" w:hAnsi="Times New Roman" w:cs="Times New Roman"/>
                <w:sz w:val="24"/>
                <w:szCs w:val="24"/>
              </w:rPr>
            </w:pPr>
            <w:r w:rsidRPr="004F0103">
              <w:rPr>
                <w:rFonts w:ascii="Times New Roman" w:eastAsia="Times New Roman" w:hAnsi="Times New Roman" w:cs="Times New Roman"/>
                <w:sz w:val="24"/>
                <w:szCs w:val="24"/>
              </w:rPr>
              <w:t>Noteikumu projektā paredzētās prasības</w:t>
            </w:r>
            <w:r>
              <w:rPr>
                <w:rFonts w:ascii="Times New Roman" w:eastAsia="Times New Roman" w:hAnsi="Times New Roman" w:cs="Times New Roman"/>
                <w:sz w:val="24"/>
                <w:szCs w:val="24"/>
              </w:rPr>
              <w:t xml:space="preserve"> attiecībā uz likviditātes pietiekamības novērtēšanas procesu</w:t>
            </w:r>
            <w:r w:rsidRPr="004F0103">
              <w:rPr>
                <w:rFonts w:ascii="Times New Roman" w:eastAsia="Times New Roman" w:hAnsi="Times New Roman" w:cs="Times New Roman"/>
                <w:sz w:val="24"/>
                <w:szCs w:val="24"/>
              </w:rPr>
              <w:t xml:space="preserve"> nav </w:t>
            </w:r>
            <w:r w:rsidR="00423739">
              <w:rPr>
                <w:rFonts w:ascii="Times New Roman" w:eastAsia="Times New Roman" w:hAnsi="Times New Roman" w:cs="Times New Roman"/>
                <w:sz w:val="24"/>
                <w:szCs w:val="24"/>
              </w:rPr>
              <w:t>piemērojama</w:t>
            </w:r>
            <w:r w:rsidRPr="004F0103">
              <w:rPr>
                <w:rFonts w:ascii="Times New Roman" w:eastAsia="Times New Roman" w:hAnsi="Times New Roman" w:cs="Times New Roman"/>
                <w:sz w:val="24"/>
                <w:szCs w:val="24"/>
              </w:rPr>
              <w:t>s Latvijas Republikā reģistrētām kredītiestādēm, kas ir nozīmīgās uzraudzītās kredītiestādes Kredītiestāžu likuma 1.</w:t>
            </w:r>
            <w:r>
              <w:rPr>
                <w:rFonts w:ascii="Times New Roman" w:eastAsia="Times New Roman" w:hAnsi="Times New Roman" w:cs="Times New Roman"/>
                <w:sz w:val="24"/>
                <w:szCs w:val="24"/>
              </w:rPr>
              <w:t> </w:t>
            </w:r>
            <w:r w:rsidRPr="004F0103">
              <w:rPr>
                <w:rFonts w:ascii="Times New Roman" w:eastAsia="Times New Roman" w:hAnsi="Times New Roman" w:cs="Times New Roman"/>
                <w:sz w:val="24"/>
                <w:szCs w:val="24"/>
              </w:rPr>
              <w:t>panta pirmās daļas 67.</w:t>
            </w:r>
            <w:r>
              <w:rPr>
                <w:rFonts w:ascii="Times New Roman" w:eastAsia="Times New Roman" w:hAnsi="Times New Roman" w:cs="Times New Roman"/>
                <w:sz w:val="24"/>
                <w:szCs w:val="24"/>
              </w:rPr>
              <w:t> </w:t>
            </w:r>
            <w:r w:rsidRPr="004F0103">
              <w:rPr>
                <w:rFonts w:ascii="Times New Roman" w:eastAsia="Times New Roman" w:hAnsi="Times New Roman" w:cs="Times New Roman"/>
                <w:sz w:val="24"/>
                <w:szCs w:val="24"/>
              </w:rPr>
              <w:t>punkta izpratnē, jo minētajām kredītiestādēm ir saistošas Eiropas Centrālās bankas 2018.</w:t>
            </w:r>
            <w:r>
              <w:rPr>
                <w:rFonts w:ascii="Times New Roman" w:eastAsia="Times New Roman" w:hAnsi="Times New Roman" w:cs="Times New Roman"/>
                <w:sz w:val="24"/>
                <w:szCs w:val="24"/>
              </w:rPr>
              <w:t> </w:t>
            </w:r>
            <w:r w:rsidRPr="004F0103">
              <w:rPr>
                <w:rFonts w:ascii="Times New Roman" w:eastAsia="Times New Roman" w:hAnsi="Times New Roman" w:cs="Times New Roman"/>
                <w:sz w:val="24"/>
                <w:szCs w:val="24"/>
              </w:rPr>
              <w:t>gad</w:t>
            </w:r>
            <w:r w:rsidR="00EA017F">
              <w:rPr>
                <w:rFonts w:ascii="Times New Roman" w:eastAsia="Times New Roman" w:hAnsi="Times New Roman" w:cs="Times New Roman"/>
                <w:sz w:val="24"/>
                <w:szCs w:val="24"/>
              </w:rPr>
              <w:t>ā</w:t>
            </w:r>
            <w:r w:rsidRPr="004F0103">
              <w:rPr>
                <w:rFonts w:ascii="Times New Roman" w:eastAsia="Times New Roman" w:hAnsi="Times New Roman" w:cs="Times New Roman"/>
                <w:sz w:val="24"/>
                <w:szCs w:val="24"/>
              </w:rPr>
              <w:t xml:space="preserve"> noteiktās prasības likviditātes pietiekamības novērtēšanas procesam</w:t>
            </w:r>
            <w:r w:rsidR="00EA017F">
              <w:rPr>
                <w:rStyle w:val="FootnoteReference"/>
                <w:rFonts w:ascii="Times New Roman" w:eastAsia="Times New Roman" w:hAnsi="Times New Roman" w:cs="Times New Roman"/>
                <w:sz w:val="24"/>
                <w:szCs w:val="24"/>
              </w:rPr>
              <w:footnoteReference w:id="2"/>
            </w:r>
            <w:r w:rsidRPr="004F0103">
              <w:rPr>
                <w:rFonts w:ascii="Times New Roman" w:eastAsia="Times New Roman" w:hAnsi="Times New Roman" w:cs="Times New Roman"/>
                <w:sz w:val="24"/>
                <w:szCs w:val="24"/>
              </w:rPr>
              <w:t>.</w:t>
            </w:r>
          </w:p>
          <w:p w14:paraId="4CC39819" w14:textId="730F2255" w:rsidR="00107E9B" w:rsidRDefault="00107E9B" w:rsidP="00CC7E25">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Ņ</w:t>
            </w:r>
            <w:r w:rsidRPr="00005BDC">
              <w:rPr>
                <w:rFonts w:ascii="Times New Roman" w:eastAsia="Times New Roman" w:hAnsi="Times New Roman" w:cs="Times New Roman"/>
                <w:sz w:val="24"/>
                <w:szCs w:val="24"/>
              </w:rPr>
              <w:t>emot vērā Pamatnostādn</w:t>
            </w:r>
            <w:r>
              <w:rPr>
                <w:rFonts w:ascii="Times New Roman" w:eastAsia="Times New Roman" w:hAnsi="Times New Roman" w:cs="Times New Roman"/>
                <w:sz w:val="24"/>
                <w:szCs w:val="24"/>
              </w:rPr>
              <w:t>ēs</w:t>
            </w:r>
            <w:r w:rsidRPr="00005BDC">
              <w:rPr>
                <w:rFonts w:ascii="Times New Roman" w:eastAsia="Times New Roman" w:hAnsi="Times New Roman" w:cs="Times New Roman"/>
                <w:sz w:val="24"/>
                <w:szCs w:val="24"/>
              </w:rPr>
              <w:t xml:space="preserve"> par SREP </w:t>
            </w:r>
            <w:r>
              <w:rPr>
                <w:rFonts w:ascii="Times New Roman" w:eastAsia="Times New Roman" w:hAnsi="Times New Roman" w:cs="Times New Roman"/>
                <w:sz w:val="24"/>
                <w:szCs w:val="24"/>
              </w:rPr>
              <w:t xml:space="preserve">ietvertās prasības, </w:t>
            </w:r>
            <w:r w:rsidRPr="00005BDC">
              <w:rPr>
                <w:rFonts w:ascii="Times New Roman" w:eastAsia="Times New Roman" w:hAnsi="Times New Roman" w:cs="Times New Roman"/>
                <w:sz w:val="24"/>
                <w:szCs w:val="24"/>
              </w:rPr>
              <w:t xml:space="preserve">Noteikumu </w:t>
            </w:r>
            <w:r w:rsidRPr="00E25E2C">
              <w:rPr>
                <w:rFonts w:ascii="Times New Roman" w:eastAsia="Times New Roman" w:hAnsi="Times New Roman" w:cs="Times New Roman"/>
                <w:sz w:val="24"/>
                <w:szCs w:val="24"/>
              </w:rPr>
              <w:t>projekts vienlaikus paredz noteikt kredītiestādēm iekšējo limitu izdzīvošanas periodam</w:t>
            </w:r>
            <w:r w:rsidRPr="00005BDC">
              <w:rPr>
                <w:rFonts w:ascii="Times New Roman" w:eastAsia="Times New Roman" w:hAnsi="Times New Roman" w:cs="Times New Roman"/>
                <w:sz w:val="24"/>
                <w:szCs w:val="24"/>
              </w:rPr>
              <w:t xml:space="preserve"> (laikposmam, kurā kredītiestāde var turpināt darboties stresa apstākļos un joprojām izpildīt savas maksājumu saistības)</w:t>
            </w:r>
            <w:r>
              <w:rPr>
                <w:rFonts w:ascii="Times New Roman" w:eastAsia="Times New Roman" w:hAnsi="Times New Roman" w:cs="Times New Roman"/>
                <w:sz w:val="24"/>
                <w:szCs w:val="24"/>
              </w:rPr>
              <w:t>.</w:t>
            </w:r>
            <w:r w:rsidRPr="00005BDC">
              <w:rPr>
                <w:rFonts w:ascii="Times New Roman" w:eastAsia="Times New Roman" w:hAnsi="Times New Roman" w:cs="Times New Roman"/>
                <w:sz w:val="24"/>
                <w:szCs w:val="24"/>
              </w:rPr>
              <w:t xml:space="preserve"> </w:t>
            </w:r>
          </w:p>
          <w:p w14:paraId="6FF7EBBB" w14:textId="7DB717B2" w:rsidR="00107E9B" w:rsidRDefault="005D3661" w:rsidP="00CC7E25">
            <w:pPr>
              <w:pStyle w:val="ListParagraph"/>
              <w:numPr>
                <w:ilvl w:val="0"/>
                <w:numId w:val="13"/>
              </w:numPr>
              <w:tabs>
                <w:tab w:val="left" w:pos="383"/>
              </w:tabs>
              <w:spacing w:after="12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Pamatnostādnes par informāciju</w:t>
            </w:r>
            <w:r w:rsidRPr="00F16236">
              <w:rPr>
                <w:rFonts w:ascii="Times New Roman" w:hAnsi="Times New Roman" w:cs="Times New Roman"/>
                <w:sz w:val="24"/>
                <w:szCs w:val="24"/>
              </w:rPr>
              <w:t xml:space="preserve"> nosaka, kāda informācija attiecībā uz kapitāla un likviditātes pietiekamības novērtēšanas procesu kompetentajām iestādēm jāsaņem no kredītiestādēm, lai veiktu to novērtēšanu</w:t>
            </w:r>
            <w:r w:rsidRPr="00D6150A">
              <w:rPr>
                <w:rFonts w:ascii="Times New Roman" w:hAnsi="Times New Roman" w:cs="Times New Roman"/>
                <w:sz w:val="24"/>
                <w:szCs w:val="24"/>
              </w:rPr>
              <w:t xml:space="preserve">. </w:t>
            </w:r>
          </w:p>
          <w:p w14:paraId="10940978" w14:textId="017C4D39" w:rsidR="00107E9B" w:rsidRDefault="00107E9B" w:rsidP="00CC7E25">
            <w:pPr>
              <w:pStyle w:val="ListParagraph"/>
              <w:tabs>
                <w:tab w:val="left" w:pos="383"/>
              </w:tabs>
              <w:spacing w:after="12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Noteikumu projektā ietvert</w:t>
            </w:r>
            <w:r w:rsidR="00677613">
              <w:rPr>
                <w:rFonts w:ascii="Times New Roman" w:hAnsi="Times New Roman" w:cs="Times New Roman"/>
                <w:sz w:val="24"/>
                <w:szCs w:val="24"/>
              </w:rPr>
              <w:t>ā</w:t>
            </w:r>
            <w:r>
              <w:rPr>
                <w:rFonts w:ascii="Times New Roman" w:hAnsi="Times New Roman" w:cs="Times New Roman"/>
                <w:sz w:val="24"/>
                <w:szCs w:val="24"/>
              </w:rPr>
              <w:t xml:space="preserve">s </w:t>
            </w:r>
            <w:r w:rsidRPr="00107E9B">
              <w:rPr>
                <w:rFonts w:ascii="Times New Roman" w:hAnsi="Times New Roman" w:cs="Times New Roman"/>
                <w:sz w:val="24"/>
                <w:szCs w:val="24"/>
              </w:rPr>
              <w:t>prasības informācijas par likviditātes pietiekamības novērtēšanas procesu sagatavošanai un iesniegšanai Latvijas Bank</w:t>
            </w:r>
            <w:r w:rsidR="00677613">
              <w:rPr>
                <w:rFonts w:ascii="Times New Roman" w:hAnsi="Times New Roman" w:cs="Times New Roman"/>
                <w:sz w:val="24"/>
                <w:szCs w:val="24"/>
              </w:rPr>
              <w:t>ā</w:t>
            </w:r>
            <w:r w:rsidR="007F3E20">
              <w:rPr>
                <w:rFonts w:ascii="Times New Roman" w:hAnsi="Times New Roman" w:cs="Times New Roman"/>
                <w:sz w:val="24"/>
                <w:szCs w:val="24"/>
              </w:rPr>
              <w:t xml:space="preserve"> ir izstrādātas</w:t>
            </w:r>
            <w:r w:rsidR="000843DF">
              <w:rPr>
                <w:rFonts w:ascii="Times New Roman" w:hAnsi="Times New Roman" w:cs="Times New Roman"/>
                <w:sz w:val="24"/>
                <w:szCs w:val="24"/>
              </w:rPr>
              <w:t>,</w:t>
            </w:r>
            <w:r w:rsidR="007F3E20">
              <w:rPr>
                <w:rFonts w:ascii="Times New Roman" w:hAnsi="Times New Roman" w:cs="Times New Roman"/>
                <w:sz w:val="24"/>
                <w:szCs w:val="24"/>
              </w:rPr>
              <w:t xml:space="preserve"> izmantojot Pamatnostādnēs par informāciju ietvertās vadlīnijas</w:t>
            </w:r>
            <w:r>
              <w:rPr>
                <w:rFonts w:ascii="Times New Roman" w:hAnsi="Times New Roman" w:cs="Times New Roman"/>
                <w:sz w:val="24"/>
                <w:szCs w:val="24"/>
              </w:rPr>
              <w:t>.</w:t>
            </w:r>
          </w:p>
          <w:p w14:paraId="4A996FE1" w14:textId="24741992" w:rsidR="00107E9B" w:rsidRDefault="00E25E2C" w:rsidP="00CC7E25">
            <w:pPr>
              <w:pStyle w:val="ListParagraph"/>
              <w:numPr>
                <w:ilvl w:val="0"/>
                <w:numId w:val="13"/>
              </w:numPr>
              <w:tabs>
                <w:tab w:val="left" w:pos="383"/>
              </w:tabs>
              <w:spacing w:after="12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Pamatnostādn</w:t>
            </w:r>
            <w:r w:rsidR="0081742D">
              <w:rPr>
                <w:rFonts w:ascii="Times New Roman" w:hAnsi="Times New Roman" w:cs="Times New Roman"/>
                <w:sz w:val="24"/>
                <w:szCs w:val="24"/>
              </w:rPr>
              <w:t>ē</w:t>
            </w:r>
            <w:r>
              <w:rPr>
                <w:rFonts w:ascii="Times New Roman" w:hAnsi="Times New Roman" w:cs="Times New Roman"/>
                <w:sz w:val="24"/>
                <w:szCs w:val="24"/>
              </w:rPr>
              <w:t>s par stresa testiem</w:t>
            </w:r>
            <w:r w:rsidR="0081742D" w:rsidRPr="0081742D">
              <w:rPr>
                <w:rFonts w:ascii="Times New Roman" w:hAnsi="Times New Roman" w:cs="Times New Roman"/>
                <w:sz w:val="24"/>
                <w:szCs w:val="24"/>
              </w:rPr>
              <w:t xml:space="preserve"> ir </w:t>
            </w:r>
            <w:r w:rsidR="0081742D">
              <w:rPr>
                <w:rFonts w:ascii="Times New Roman" w:hAnsi="Times New Roman" w:cs="Times New Roman"/>
                <w:sz w:val="24"/>
                <w:szCs w:val="24"/>
              </w:rPr>
              <w:t>ietvertas</w:t>
            </w:r>
            <w:r w:rsidR="0081742D" w:rsidRPr="0081742D">
              <w:rPr>
                <w:rFonts w:ascii="Times New Roman" w:hAnsi="Times New Roman" w:cs="Times New Roman"/>
                <w:sz w:val="24"/>
                <w:szCs w:val="24"/>
              </w:rPr>
              <w:t xml:space="preserve"> kopīgas organizatoriskās prasības, metodes un </w:t>
            </w:r>
            <w:r w:rsidR="0081742D" w:rsidRPr="00E67E46">
              <w:rPr>
                <w:rFonts w:ascii="Times New Roman" w:hAnsi="Times New Roman" w:cs="Times New Roman"/>
                <w:sz w:val="24"/>
                <w:szCs w:val="24"/>
              </w:rPr>
              <w:t xml:space="preserve">procesi, lai </w:t>
            </w:r>
            <w:r w:rsidR="00CE05ED" w:rsidRPr="00E67E46">
              <w:rPr>
                <w:rFonts w:ascii="Times New Roman" w:hAnsi="Times New Roman" w:cs="Times New Roman"/>
                <w:sz w:val="24"/>
                <w:szCs w:val="24"/>
              </w:rPr>
              <w:t>kredīt</w:t>
            </w:r>
            <w:r w:rsidR="0081742D" w:rsidRPr="00E67E46">
              <w:rPr>
                <w:rFonts w:ascii="Times New Roman" w:hAnsi="Times New Roman" w:cs="Times New Roman"/>
                <w:sz w:val="24"/>
                <w:szCs w:val="24"/>
              </w:rPr>
              <w:t>iestādes</w:t>
            </w:r>
            <w:r w:rsidR="0081742D" w:rsidRPr="0081742D">
              <w:rPr>
                <w:rFonts w:ascii="Times New Roman" w:hAnsi="Times New Roman" w:cs="Times New Roman"/>
                <w:sz w:val="24"/>
                <w:szCs w:val="24"/>
              </w:rPr>
              <w:t xml:space="preserve"> veiktu </w:t>
            </w:r>
            <w:r w:rsidR="0081742D">
              <w:rPr>
                <w:rFonts w:ascii="Times New Roman" w:hAnsi="Times New Roman" w:cs="Times New Roman"/>
                <w:sz w:val="24"/>
                <w:szCs w:val="24"/>
              </w:rPr>
              <w:t>stresa</w:t>
            </w:r>
            <w:r w:rsidR="0081742D" w:rsidRPr="0081742D">
              <w:rPr>
                <w:rFonts w:ascii="Times New Roman" w:hAnsi="Times New Roman" w:cs="Times New Roman"/>
                <w:sz w:val="24"/>
                <w:szCs w:val="24"/>
              </w:rPr>
              <w:t xml:space="preserve"> testus, savā riska pārvaldības procesā ietverot kapitāla pietiekamību un riska pārvaldību</w:t>
            </w:r>
            <w:r w:rsidR="0081742D">
              <w:rPr>
                <w:rFonts w:ascii="Times New Roman" w:hAnsi="Times New Roman" w:cs="Times New Roman"/>
                <w:sz w:val="24"/>
                <w:szCs w:val="24"/>
              </w:rPr>
              <w:t xml:space="preserve">. </w:t>
            </w:r>
          </w:p>
          <w:p w14:paraId="67A896D5" w14:textId="43476EB6" w:rsidR="00BF04C7" w:rsidRDefault="0081742D" w:rsidP="00CC7E25">
            <w:pPr>
              <w:pStyle w:val="ListParagraph"/>
              <w:tabs>
                <w:tab w:val="left" w:pos="383"/>
              </w:tabs>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Noteikumu projektā ir ietverta prasība kredītiestādei, īstenojot likviditātes riska pārvaldību un likviditātes pietiekamības novērtēšanas procesu, ievērot </w:t>
            </w:r>
            <w:r w:rsidR="007F3E20">
              <w:rPr>
                <w:rFonts w:ascii="Times New Roman" w:hAnsi="Times New Roman" w:cs="Times New Roman"/>
                <w:sz w:val="24"/>
                <w:szCs w:val="24"/>
              </w:rPr>
              <w:t>P</w:t>
            </w:r>
            <w:r>
              <w:rPr>
                <w:rFonts w:ascii="Times New Roman" w:hAnsi="Times New Roman" w:cs="Times New Roman"/>
                <w:sz w:val="24"/>
                <w:szCs w:val="24"/>
              </w:rPr>
              <w:t xml:space="preserve">amatnostādnēs </w:t>
            </w:r>
            <w:r w:rsidR="007F3E20">
              <w:rPr>
                <w:rFonts w:ascii="Times New Roman" w:hAnsi="Times New Roman" w:cs="Times New Roman"/>
                <w:sz w:val="24"/>
                <w:szCs w:val="24"/>
              </w:rPr>
              <w:t xml:space="preserve">par stresa testiem </w:t>
            </w:r>
            <w:r>
              <w:rPr>
                <w:rFonts w:ascii="Times New Roman" w:hAnsi="Times New Roman" w:cs="Times New Roman"/>
                <w:sz w:val="24"/>
                <w:szCs w:val="24"/>
              </w:rPr>
              <w:t xml:space="preserve">ietvertās prasības. </w:t>
            </w:r>
          </w:p>
          <w:p w14:paraId="276B35CC" w14:textId="77777777" w:rsidR="0087393B" w:rsidRDefault="00365522" w:rsidP="00CC7E25">
            <w:pPr>
              <w:spacing w:after="120" w:line="240" w:lineRule="auto"/>
              <w:jc w:val="both"/>
              <w:rPr>
                <w:rFonts w:ascii="Times New Roman" w:eastAsia="Times New Roman" w:hAnsi="Times New Roman" w:cs="Times New Roman"/>
                <w:sz w:val="24"/>
                <w:szCs w:val="24"/>
                <w:lang w:eastAsia="lv-LV"/>
              </w:rPr>
            </w:pPr>
            <w:r w:rsidRPr="00F86E08">
              <w:rPr>
                <w:rFonts w:ascii="Times New Roman" w:eastAsia="Times New Roman" w:hAnsi="Times New Roman" w:cs="Times New Roman"/>
                <w:sz w:val="24"/>
                <w:szCs w:val="24"/>
                <w:lang w:eastAsia="lv-LV"/>
              </w:rPr>
              <w:t xml:space="preserve">Noteikumu projektā paredzētās prasības būs saistošas </w:t>
            </w:r>
            <w:r w:rsidR="00120EBA">
              <w:rPr>
                <w:rFonts w:ascii="Times New Roman" w:eastAsia="Times New Roman" w:hAnsi="Times New Roman" w:cs="Times New Roman"/>
                <w:sz w:val="24"/>
                <w:szCs w:val="24"/>
                <w:lang w:eastAsia="lv-LV"/>
              </w:rPr>
              <w:t xml:space="preserve">ne tikai </w:t>
            </w:r>
            <w:r w:rsidRPr="00F86E08">
              <w:rPr>
                <w:rFonts w:ascii="Times New Roman" w:eastAsia="Times New Roman" w:hAnsi="Times New Roman" w:cs="Times New Roman"/>
                <w:sz w:val="24"/>
                <w:szCs w:val="24"/>
                <w:lang w:eastAsia="lv-LV"/>
              </w:rPr>
              <w:t xml:space="preserve">Latvijas Republikā reģistrētām kredītiestādēm, </w:t>
            </w:r>
            <w:r w:rsidR="00120EBA">
              <w:rPr>
                <w:rFonts w:ascii="Times New Roman" w:eastAsia="Times New Roman" w:hAnsi="Times New Roman" w:cs="Times New Roman"/>
                <w:sz w:val="24"/>
                <w:szCs w:val="24"/>
                <w:lang w:eastAsia="lv-LV"/>
              </w:rPr>
              <w:t>bet arī</w:t>
            </w:r>
            <w:r w:rsidR="0087393B">
              <w:rPr>
                <w:rFonts w:ascii="Times New Roman" w:eastAsia="Times New Roman" w:hAnsi="Times New Roman" w:cs="Times New Roman"/>
                <w:sz w:val="24"/>
                <w:szCs w:val="24"/>
                <w:lang w:eastAsia="lv-LV"/>
              </w:rPr>
              <w:t>:</w:t>
            </w:r>
          </w:p>
          <w:p w14:paraId="38CB4069" w14:textId="3C62696D" w:rsidR="0087393B" w:rsidRDefault="0087393B" w:rsidP="00CC7E25">
            <w:pPr>
              <w:spacing w:after="120" w:line="240" w:lineRule="auto"/>
              <w:jc w:val="both"/>
              <w:rPr>
                <w:rFonts w:ascii="Times New Roman" w:eastAsia="Times New Roman" w:hAnsi="Times New Roman" w:cs="Times New Roman"/>
                <w:sz w:val="24"/>
                <w:szCs w:val="24"/>
                <w:lang w:eastAsia="lv-LV"/>
              </w:rPr>
            </w:pPr>
            <w:r w:rsidRPr="00906FF7">
              <w:rPr>
                <w:rFonts w:ascii="Times New Roman" w:eastAsia="Times New Roman" w:hAnsi="Times New Roman" w:cs="Times New Roman"/>
                <w:sz w:val="24"/>
                <w:szCs w:val="24"/>
                <w:lang w:eastAsia="lv-LV"/>
              </w:rPr>
              <w:t>-</w:t>
            </w:r>
            <w:r w:rsidR="00120EBA">
              <w:rPr>
                <w:rFonts w:ascii="Times New Roman" w:eastAsia="Times New Roman" w:hAnsi="Times New Roman" w:cs="Times New Roman"/>
                <w:sz w:val="24"/>
                <w:szCs w:val="24"/>
                <w:lang w:eastAsia="lv-LV"/>
              </w:rPr>
              <w:t xml:space="preserve"> </w:t>
            </w:r>
            <w:r w:rsidR="00365522" w:rsidRPr="00F86E08">
              <w:rPr>
                <w:rFonts w:ascii="Times New Roman" w:eastAsia="Times New Roman" w:hAnsi="Times New Roman" w:cs="Times New Roman"/>
                <w:sz w:val="24"/>
                <w:szCs w:val="24"/>
                <w:lang w:eastAsia="lv-LV"/>
              </w:rPr>
              <w:t>Kredītiestāžu likuma 11.</w:t>
            </w:r>
            <w:r w:rsidR="00365522" w:rsidRPr="00B319A3">
              <w:rPr>
                <w:rFonts w:ascii="Times New Roman" w:eastAsia="Times New Roman" w:hAnsi="Times New Roman" w:cs="Times New Roman"/>
                <w:sz w:val="24"/>
                <w:szCs w:val="24"/>
                <w:vertAlign w:val="superscript"/>
                <w:lang w:eastAsia="lv-LV"/>
              </w:rPr>
              <w:t>2</w:t>
            </w:r>
            <w:r w:rsidR="006A5FCD">
              <w:rPr>
                <w:rFonts w:ascii="Times New Roman" w:eastAsia="Times New Roman" w:hAnsi="Times New Roman" w:cs="Times New Roman"/>
                <w:sz w:val="24"/>
                <w:szCs w:val="24"/>
                <w:vertAlign w:val="superscript"/>
                <w:lang w:eastAsia="lv-LV"/>
              </w:rPr>
              <w:t> </w:t>
            </w:r>
            <w:r w:rsidR="00365522" w:rsidRPr="00F86E08">
              <w:rPr>
                <w:rFonts w:ascii="Times New Roman" w:eastAsia="Times New Roman" w:hAnsi="Times New Roman" w:cs="Times New Roman"/>
                <w:sz w:val="24"/>
                <w:szCs w:val="24"/>
                <w:lang w:eastAsia="lv-LV"/>
              </w:rPr>
              <w:t>pantā minētajām ieguldījumu brokeru sabiedrībām</w:t>
            </w:r>
            <w:r w:rsidR="00DC1299">
              <w:rPr>
                <w:rFonts w:ascii="Times New Roman" w:eastAsia="Times New Roman" w:hAnsi="Times New Roman" w:cs="Times New Roman"/>
                <w:sz w:val="24"/>
                <w:szCs w:val="24"/>
                <w:lang w:eastAsia="lv-LV"/>
              </w:rPr>
              <w:t>,</w:t>
            </w:r>
            <w:r w:rsidR="00D5290E">
              <w:rPr>
                <w:rFonts w:ascii="Times New Roman" w:eastAsia="Times New Roman" w:hAnsi="Times New Roman" w:cs="Times New Roman"/>
                <w:sz w:val="24"/>
                <w:szCs w:val="24"/>
                <w:lang w:eastAsia="lv-LV"/>
              </w:rPr>
              <w:t xml:space="preserve"> ņemot vērā I</w:t>
            </w:r>
            <w:r w:rsidR="0081742D">
              <w:rPr>
                <w:rFonts w:ascii="Times New Roman" w:eastAsia="Times New Roman" w:hAnsi="Times New Roman" w:cs="Times New Roman"/>
                <w:sz w:val="24"/>
                <w:szCs w:val="24"/>
                <w:lang w:eastAsia="lv-LV"/>
              </w:rPr>
              <w:t>eguldījumu brokeru sabiedrību</w:t>
            </w:r>
            <w:r w:rsidR="00D5290E">
              <w:rPr>
                <w:rFonts w:ascii="Times New Roman" w:eastAsia="Times New Roman" w:hAnsi="Times New Roman" w:cs="Times New Roman"/>
                <w:sz w:val="24"/>
                <w:szCs w:val="24"/>
                <w:lang w:eastAsia="lv-LV"/>
              </w:rPr>
              <w:t xml:space="preserve"> likuma 4.</w:t>
            </w:r>
            <w:r w:rsidR="00DC1299">
              <w:rPr>
                <w:rFonts w:ascii="Times New Roman" w:eastAsia="Times New Roman" w:hAnsi="Times New Roman" w:cs="Times New Roman"/>
                <w:sz w:val="24"/>
                <w:szCs w:val="24"/>
                <w:lang w:eastAsia="lv-LV"/>
              </w:rPr>
              <w:t> </w:t>
            </w:r>
            <w:r w:rsidR="00D5290E">
              <w:rPr>
                <w:rFonts w:ascii="Times New Roman" w:eastAsia="Times New Roman" w:hAnsi="Times New Roman" w:cs="Times New Roman"/>
                <w:sz w:val="24"/>
                <w:szCs w:val="24"/>
                <w:lang w:eastAsia="lv-LV"/>
              </w:rPr>
              <w:t>panta treš</w:t>
            </w:r>
            <w:r w:rsidR="00DC1299">
              <w:rPr>
                <w:rFonts w:ascii="Times New Roman" w:eastAsia="Times New Roman" w:hAnsi="Times New Roman" w:cs="Times New Roman"/>
                <w:sz w:val="24"/>
                <w:szCs w:val="24"/>
                <w:lang w:eastAsia="lv-LV"/>
              </w:rPr>
              <w:t>o</w:t>
            </w:r>
            <w:r w:rsidR="00D5290E">
              <w:rPr>
                <w:rFonts w:ascii="Times New Roman" w:eastAsia="Times New Roman" w:hAnsi="Times New Roman" w:cs="Times New Roman"/>
                <w:sz w:val="24"/>
                <w:szCs w:val="24"/>
                <w:lang w:eastAsia="lv-LV"/>
              </w:rPr>
              <w:t xml:space="preserve"> daļ</w:t>
            </w:r>
            <w:r w:rsidR="00DC1299">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w:t>
            </w:r>
          </w:p>
          <w:p w14:paraId="000DBA48" w14:textId="266F1908" w:rsidR="00793B90" w:rsidRDefault="0087393B" w:rsidP="00CC7E2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w:t>
            </w:r>
            <w:r w:rsidR="00365522" w:rsidRPr="00F86E08">
              <w:rPr>
                <w:rFonts w:ascii="Times New Roman" w:eastAsia="Times New Roman" w:hAnsi="Times New Roman" w:cs="Times New Roman"/>
                <w:sz w:val="24"/>
                <w:szCs w:val="24"/>
                <w:lang w:eastAsia="lv-LV"/>
              </w:rPr>
              <w:t xml:space="preserve"> tām ieguldījumu brokeru sabiedrībām, kuras minētas Eiropas Parlamenta un Padomes 2019.</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gada 27.</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 xml:space="preserve">novembra </w:t>
            </w:r>
            <w:r w:rsidR="0025505D">
              <w:rPr>
                <w:rFonts w:ascii="Times New Roman" w:eastAsia="Times New Roman" w:hAnsi="Times New Roman" w:cs="Times New Roman"/>
                <w:sz w:val="24"/>
                <w:szCs w:val="24"/>
                <w:lang w:eastAsia="lv-LV"/>
              </w:rPr>
              <w:t>r</w:t>
            </w:r>
            <w:r w:rsidR="00365522" w:rsidRPr="00F86E08">
              <w:rPr>
                <w:rFonts w:ascii="Times New Roman" w:eastAsia="Times New Roman" w:hAnsi="Times New Roman" w:cs="Times New Roman"/>
                <w:sz w:val="24"/>
                <w:szCs w:val="24"/>
                <w:lang w:eastAsia="lv-LV"/>
              </w:rPr>
              <w:t xml:space="preserve">egulas (ES) 2019/2033 par prudenciālajām prasībām ieguldījumu brokeru sabiedrībām un ar ko groza </w:t>
            </w:r>
            <w:r w:rsidR="0025505D">
              <w:rPr>
                <w:rFonts w:ascii="Times New Roman" w:eastAsia="Times New Roman" w:hAnsi="Times New Roman" w:cs="Times New Roman"/>
                <w:sz w:val="24"/>
                <w:szCs w:val="24"/>
                <w:lang w:eastAsia="lv-LV"/>
              </w:rPr>
              <w:t>r</w:t>
            </w:r>
            <w:r w:rsidR="00365522" w:rsidRPr="00F86E08">
              <w:rPr>
                <w:rFonts w:ascii="Times New Roman" w:eastAsia="Times New Roman" w:hAnsi="Times New Roman" w:cs="Times New Roman"/>
                <w:sz w:val="24"/>
                <w:szCs w:val="24"/>
                <w:lang w:eastAsia="lv-LV"/>
              </w:rPr>
              <w:t>egulas (ES) Nr.</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1093/2010, (ES) Nr.</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575/2013, (ES) Nr.</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600/2014 un (ES) Nr.</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 xml:space="preserve">806/2014 </w:t>
            </w:r>
            <w:r w:rsidR="00B2321C">
              <w:rPr>
                <w:rFonts w:ascii="Times New Roman" w:eastAsia="Times New Roman" w:hAnsi="Times New Roman" w:cs="Times New Roman"/>
                <w:sz w:val="24"/>
                <w:szCs w:val="24"/>
                <w:lang w:eastAsia="lv-LV"/>
              </w:rPr>
              <w:t>(turpmāk – Regula Nr. </w:t>
            </w:r>
            <w:r w:rsidR="00B2321C" w:rsidRPr="00F86E08">
              <w:rPr>
                <w:rFonts w:ascii="Times New Roman" w:eastAsia="Times New Roman" w:hAnsi="Times New Roman" w:cs="Times New Roman"/>
                <w:sz w:val="24"/>
                <w:szCs w:val="24"/>
                <w:lang w:eastAsia="lv-LV"/>
              </w:rPr>
              <w:t> 2019/2033</w:t>
            </w:r>
            <w:r w:rsidR="00B2321C">
              <w:rPr>
                <w:rFonts w:ascii="Times New Roman" w:eastAsia="Times New Roman" w:hAnsi="Times New Roman" w:cs="Times New Roman"/>
                <w:sz w:val="24"/>
                <w:szCs w:val="24"/>
                <w:lang w:eastAsia="lv-LV"/>
              </w:rPr>
              <w:t>)</w:t>
            </w:r>
            <w:r w:rsidR="00B2321C" w:rsidRPr="00F86E08">
              <w:rPr>
                <w:rFonts w:ascii="Times New Roman" w:eastAsia="Times New Roman" w:hAnsi="Times New Roman" w:cs="Times New Roman"/>
                <w:sz w:val="24"/>
                <w:szCs w:val="24"/>
                <w:lang w:eastAsia="lv-LV"/>
              </w:rPr>
              <w:t xml:space="preserve"> </w:t>
            </w:r>
            <w:r w:rsidR="00365522" w:rsidRPr="00F86E08">
              <w:rPr>
                <w:rFonts w:ascii="Times New Roman" w:eastAsia="Times New Roman" w:hAnsi="Times New Roman" w:cs="Times New Roman"/>
                <w:sz w:val="24"/>
                <w:szCs w:val="24"/>
                <w:lang w:eastAsia="lv-LV"/>
              </w:rPr>
              <w:t>1.</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panta 2.</w:t>
            </w:r>
            <w:r w:rsidR="00CF7D64">
              <w:rPr>
                <w:rFonts w:ascii="Times New Roman" w:eastAsia="Times New Roman" w:hAnsi="Times New Roman" w:cs="Times New Roman"/>
                <w:sz w:val="24"/>
                <w:szCs w:val="24"/>
                <w:lang w:eastAsia="lv-LV"/>
              </w:rPr>
              <w:t xml:space="preserve"> </w:t>
            </w:r>
            <w:r w:rsidR="00365522" w:rsidRPr="00F86E08">
              <w:rPr>
                <w:rFonts w:ascii="Times New Roman" w:eastAsia="Times New Roman" w:hAnsi="Times New Roman" w:cs="Times New Roman"/>
                <w:sz w:val="24"/>
                <w:szCs w:val="24"/>
                <w:lang w:eastAsia="lv-LV"/>
              </w:rPr>
              <w:t>un 5.</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punktā, ņemot vērā Ieguldījumu brokeru sabiedrību likuma 3.</w:t>
            </w:r>
            <w:r w:rsidR="006A5FCD">
              <w:rPr>
                <w:rFonts w:ascii="Times New Roman" w:eastAsia="Times New Roman" w:hAnsi="Times New Roman" w:cs="Times New Roman"/>
                <w:sz w:val="24"/>
                <w:szCs w:val="24"/>
                <w:lang w:eastAsia="lv-LV"/>
              </w:rPr>
              <w:t> </w:t>
            </w:r>
            <w:r w:rsidR="00365522" w:rsidRPr="00F86E08">
              <w:rPr>
                <w:rFonts w:ascii="Times New Roman" w:eastAsia="Times New Roman" w:hAnsi="Times New Roman" w:cs="Times New Roman"/>
                <w:sz w:val="24"/>
                <w:szCs w:val="24"/>
                <w:lang w:eastAsia="lv-LV"/>
              </w:rPr>
              <w:t>panta trešo daļu, kas nosaka, ka tām piemēro Kredītiestāžu likumā un uz tā pamata Latvijas Bankas izdotajos noteikumos paredzētās prudenciālās prasības.</w:t>
            </w:r>
          </w:p>
          <w:p w14:paraId="0F149BC9" w14:textId="5DC23F92" w:rsidR="00365522" w:rsidRDefault="00365522" w:rsidP="00CC7E25">
            <w:pPr>
              <w:spacing w:after="120" w:line="240" w:lineRule="auto"/>
              <w:jc w:val="both"/>
              <w:rPr>
                <w:rFonts w:ascii="Times New Roman" w:eastAsia="Times New Roman" w:hAnsi="Times New Roman" w:cs="Times New Roman"/>
                <w:sz w:val="24"/>
                <w:szCs w:val="24"/>
                <w:lang w:eastAsia="lv-LV"/>
              </w:rPr>
            </w:pPr>
            <w:r w:rsidRPr="000D59F4">
              <w:rPr>
                <w:rFonts w:ascii="Times New Roman" w:eastAsia="Times New Roman" w:hAnsi="Times New Roman" w:cs="Times New Roman"/>
                <w:sz w:val="24"/>
                <w:szCs w:val="24"/>
                <w:lang w:eastAsia="lv-LV"/>
              </w:rPr>
              <w:t>Šobrīd nav tādu Latvijas Republikā reģistrētu ieguldījumu brokeru sabiedrību, kuras minētas Kredītiestāžu likuma 11.</w:t>
            </w:r>
            <w:r w:rsidRPr="00B319A3">
              <w:rPr>
                <w:rFonts w:ascii="Times New Roman" w:eastAsia="Times New Roman" w:hAnsi="Times New Roman" w:cs="Times New Roman"/>
                <w:sz w:val="24"/>
                <w:szCs w:val="24"/>
                <w:vertAlign w:val="superscript"/>
                <w:lang w:eastAsia="lv-LV"/>
              </w:rPr>
              <w:t>2</w:t>
            </w:r>
            <w:r w:rsidR="006A5FCD" w:rsidRPr="006A5FCD">
              <w:rPr>
                <w:rFonts w:ascii="Times New Roman" w:eastAsia="Times New Roman" w:hAnsi="Times New Roman" w:cs="Times New Roman"/>
                <w:sz w:val="24"/>
                <w:szCs w:val="24"/>
                <w:lang w:eastAsia="lv-LV"/>
              </w:rPr>
              <w:t> </w:t>
            </w:r>
            <w:r w:rsidRPr="000D59F4">
              <w:rPr>
                <w:rFonts w:ascii="Times New Roman" w:eastAsia="Times New Roman" w:hAnsi="Times New Roman" w:cs="Times New Roman"/>
                <w:sz w:val="24"/>
                <w:szCs w:val="24"/>
                <w:lang w:eastAsia="lv-LV"/>
              </w:rPr>
              <w:t>pantā un Regulas Nr.</w:t>
            </w:r>
            <w:r w:rsidR="006A5FCD">
              <w:rPr>
                <w:rFonts w:ascii="Times New Roman" w:eastAsia="Times New Roman" w:hAnsi="Times New Roman" w:cs="Times New Roman"/>
                <w:sz w:val="24"/>
                <w:szCs w:val="24"/>
                <w:lang w:eastAsia="lv-LV"/>
              </w:rPr>
              <w:t> </w:t>
            </w:r>
            <w:r w:rsidRPr="000D59F4">
              <w:rPr>
                <w:rFonts w:ascii="Times New Roman" w:eastAsia="Times New Roman" w:hAnsi="Times New Roman" w:cs="Times New Roman"/>
                <w:sz w:val="24"/>
                <w:szCs w:val="24"/>
                <w:lang w:eastAsia="lv-LV"/>
              </w:rPr>
              <w:t>2019/2033 1.</w:t>
            </w:r>
            <w:r w:rsidR="006A5FCD">
              <w:rPr>
                <w:rFonts w:ascii="Times New Roman" w:eastAsia="Times New Roman" w:hAnsi="Times New Roman" w:cs="Times New Roman"/>
                <w:sz w:val="24"/>
                <w:szCs w:val="24"/>
                <w:lang w:eastAsia="lv-LV"/>
              </w:rPr>
              <w:t> </w:t>
            </w:r>
            <w:r w:rsidRPr="000D59F4">
              <w:rPr>
                <w:rFonts w:ascii="Times New Roman" w:eastAsia="Times New Roman" w:hAnsi="Times New Roman" w:cs="Times New Roman"/>
                <w:sz w:val="24"/>
                <w:szCs w:val="24"/>
                <w:lang w:eastAsia="lv-LV"/>
              </w:rPr>
              <w:t>panta 2.</w:t>
            </w:r>
            <w:r w:rsidR="006A5FCD">
              <w:rPr>
                <w:rFonts w:ascii="Times New Roman" w:eastAsia="Times New Roman" w:hAnsi="Times New Roman" w:cs="Times New Roman"/>
                <w:sz w:val="24"/>
                <w:szCs w:val="24"/>
                <w:lang w:eastAsia="lv-LV"/>
              </w:rPr>
              <w:t xml:space="preserve"> </w:t>
            </w:r>
            <w:r w:rsidRPr="000D59F4">
              <w:rPr>
                <w:rFonts w:ascii="Times New Roman" w:eastAsia="Times New Roman" w:hAnsi="Times New Roman" w:cs="Times New Roman"/>
                <w:sz w:val="24"/>
                <w:szCs w:val="24"/>
                <w:lang w:eastAsia="lv-LV"/>
              </w:rPr>
              <w:t>un 5.</w:t>
            </w:r>
            <w:r w:rsidR="006A5FCD">
              <w:rPr>
                <w:rFonts w:ascii="Times New Roman" w:eastAsia="Times New Roman" w:hAnsi="Times New Roman" w:cs="Times New Roman"/>
                <w:sz w:val="24"/>
                <w:szCs w:val="24"/>
                <w:lang w:eastAsia="lv-LV"/>
              </w:rPr>
              <w:t> </w:t>
            </w:r>
            <w:r w:rsidRPr="000D59F4">
              <w:rPr>
                <w:rFonts w:ascii="Times New Roman" w:eastAsia="Times New Roman" w:hAnsi="Times New Roman" w:cs="Times New Roman"/>
                <w:sz w:val="24"/>
                <w:szCs w:val="24"/>
                <w:lang w:eastAsia="lv-LV"/>
              </w:rPr>
              <w:t>punktā.</w:t>
            </w:r>
          </w:p>
          <w:p w14:paraId="5661C58B" w14:textId="11311CA7" w:rsidR="00AD34CE" w:rsidRPr="00AD34CE" w:rsidRDefault="0058668C" w:rsidP="00CC7E25">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shd w:val="clear" w:color="auto" w:fill="FFFFFF"/>
              </w:rPr>
              <w:t xml:space="preserve">Ņemot vērā Pamatnostādnēs par SREP un Pamatnostādnēs par informāciju ietvertās prasības, Noteikumu projekts </w:t>
            </w:r>
            <w:r w:rsidR="00101EB4">
              <w:rPr>
                <w:rFonts w:ascii="Times New Roman" w:eastAsia="Times New Roman" w:hAnsi="Times New Roman" w:cs="Times New Roman"/>
                <w:sz w:val="24"/>
                <w:szCs w:val="24"/>
                <w:lang w:eastAsia="lv-LV"/>
              </w:rPr>
              <w:t xml:space="preserve">paredz </w:t>
            </w:r>
            <w:r w:rsidR="00101EB4">
              <w:rPr>
                <w:rFonts w:ascii="Times New Roman" w:hAnsi="Times New Roman" w:cs="Times New Roman"/>
                <w:sz w:val="24"/>
                <w:szCs w:val="24"/>
                <w:shd w:val="clear" w:color="auto" w:fill="FFFFFF"/>
              </w:rPr>
              <w:t>šādas būtiskākās izmaiņas</w:t>
            </w:r>
            <w:r>
              <w:rPr>
                <w:rFonts w:ascii="Times New Roman" w:hAnsi="Times New Roman" w:cs="Times New Roman"/>
                <w:sz w:val="24"/>
                <w:szCs w:val="24"/>
                <w:shd w:val="clear" w:color="auto" w:fill="FFFFFF"/>
              </w:rPr>
              <w:t xml:space="preserve"> regulējumā, s</w:t>
            </w:r>
            <w:r>
              <w:rPr>
                <w:rFonts w:ascii="Times New Roman" w:eastAsia="Times New Roman" w:hAnsi="Times New Roman" w:cs="Times New Roman"/>
                <w:sz w:val="24"/>
                <w:szCs w:val="24"/>
                <w:lang w:eastAsia="lv-LV"/>
              </w:rPr>
              <w:t>alīdzinot ar Noteikumiem Nr. 218 un Noteikumiem Nr. 209</w:t>
            </w:r>
            <w:r w:rsidR="00A23DED">
              <w:rPr>
                <w:rFonts w:ascii="Times New Roman" w:eastAsia="Times New Roman" w:hAnsi="Times New Roman" w:cs="Times New Roman"/>
                <w:sz w:val="24"/>
                <w:szCs w:val="24"/>
                <w:lang w:eastAsia="lv-LV"/>
              </w:rPr>
              <w:t>:</w:t>
            </w:r>
          </w:p>
          <w:p w14:paraId="17AC89BD" w14:textId="55863811" w:rsidR="00AD34CE" w:rsidRPr="006E4B12" w:rsidRDefault="00736043"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precizē Noteikumu projekta prasību piemērošanas līmeni un tvērumu;</w:t>
            </w:r>
          </w:p>
          <w:p w14:paraId="4460FFAC" w14:textId="3C53FC6F" w:rsidR="00AD34CE" w:rsidRDefault="00AD34CE"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nosaka prasības kredītiestādēm noteikt iekšējo limitu</w:t>
            </w:r>
            <w:r w:rsidRPr="00AD34CE">
              <w:rPr>
                <w:rFonts w:ascii="Times New Roman" w:eastAsia="Times New Roman" w:hAnsi="Times New Roman" w:cs="Times New Roman"/>
                <w:sz w:val="24"/>
                <w:szCs w:val="24"/>
                <w:lang w:eastAsia="lv-LV"/>
              </w:rPr>
              <w:t xml:space="preserve"> izdzīvošanas periodam</w:t>
            </w:r>
            <w:r>
              <w:rPr>
                <w:rFonts w:ascii="Times New Roman" w:eastAsia="Times New Roman" w:hAnsi="Times New Roman" w:cs="Times New Roman"/>
                <w:sz w:val="24"/>
                <w:szCs w:val="24"/>
                <w:lang w:eastAsia="lv-LV"/>
              </w:rPr>
              <w:t>;</w:t>
            </w:r>
          </w:p>
          <w:p w14:paraId="6B1FBEE2" w14:textId="7BEF520E" w:rsidR="00AD34CE" w:rsidRPr="00651F7B" w:rsidRDefault="00AD34CE"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nosaka </w:t>
            </w:r>
            <w:r w:rsidRPr="00651F7B">
              <w:rPr>
                <w:rFonts w:ascii="Times New Roman" w:eastAsia="Times New Roman" w:hAnsi="Times New Roman" w:cs="Times New Roman"/>
                <w:sz w:val="24"/>
                <w:szCs w:val="24"/>
                <w:lang w:eastAsia="lv-LV"/>
              </w:rPr>
              <w:t xml:space="preserve">prasības novērtēt riskus, </w:t>
            </w:r>
            <w:r w:rsidR="00356ACD" w:rsidRPr="00651F7B">
              <w:rPr>
                <w:rFonts w:ascii="Times New Roman" w:eastAsia="Times New Roman" w:hAnsi="Times New Roman" w:cs="Times New Roman"/>
                <w:sz w:val="24"/>
                <w:szCs w:val="24"/>
                <w:lang w:eastAsia="lv-LV"/>
              </w:rPr>
              <w:t>kas rodas</w:t>
            </w:r>
            <w:r w:rsidR="00651F7B" w:rsidRPr="00651F7B">
              <w:rPr>
                <w:rFonts w:ascii="Times New Roman" w:eastAsia="Times New Roman" w:hAnsi="Times New Roman" w:cs="Times New Roman"/>
                <w:sz w:val="24"/>
                <w:szCs w:val="24"/>
                <w:lang w:eastAsia="lv-LV"/>
              </w:rPr>
              <w:t>, piesaistot</w:t>
            </w:r>
            <w:r w:rsidR="00356ACD" w:rsidRPr="00651F7B">
              <w:rPr>
                <w:rFonts w:ascii="Times New Roman" w:eastAsia="Times New Roman" w:hAnsi="Times New Roman" w:cs="Times New Roman"/>
                <w:sz w:val="24"/>
                <w:szCs w:val="24"/>
                <w:lang w:eastAsia="lv-LV"/>
              </w:rPr>
              <w:t xml:space="preserve"> noguldījumu</w:t>
            </w:r>
            <w:r w:rsidR="00651F7B" w:rsidRPr="00651F7B">
              <w:rPr>
                <w:rFonts w:ascii="Times New Roman" w:eastAsia="Times New Roman" w:hAnsi="Times New Roman" w:cs="Times New Roman"/>
                <w:sz w:val="24"/>
                <w:szCs w:val="24"/>
                <w:lang w:eastAsia="lv-LV"/>
              </w:rPr>
              <w:t>s</w:t>
            </w:r>
            <w:r w:rsidR="00356ACD" w:rsidRPr="00651F7B">
              <w:rPr>
                <w:rFonts w:ascii="Times New Roman" w:eastAsia="Times New Roman" w:hAnsi="Times New Roman" w:cs="Times New Roman"/>
                <w:sz w:val="24"/>
                <w:szCs w:val="24"/>
                <w:lang w:eastAsia="lv-LV"/>
              </w:rPr>
              <w:t xml:space="preserve"> no </w:t>
            </w:r>
            <w:r w:rsidRPr="00651F7B">
              <w:rPr>
                <w:rFonts w:ascii="Times New Roman" w:eastAsia="Times New Roman" w:hAnsi="Times New Roman" w:cs="Times New Roman"/>
                <w:sz w:val="24"/>
                <w:szCs w:val="24"/>
                <w:lang w:eastAsia="lv-LV"/>
              </w:rPr>
              <w:t>depozītu platformām;</w:t>
            </w:r>
          </w:p>
          <w:p w14:paraId="51CDACC4" w14:textId="4BD2D883" w:rsidR="00906FF7" w:rsidRDefault="00906FF7"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sidRPr="00651F7B">
              <w:rPr>
                <w:rFonts w:ascii="Times New Roman" w:eastAsia="Times New Roman" w:hAnsi="Times New Roman" w:cs="Times New Roman"/>
                <w:sz w:val="24"/>
                <w:szCs w:val="24"/>
                <w:lang w:eastAsia="lv-LV"/>
              </w:rPr>
              <w:t>precizē, ka kredītiestādei stresa testēšanā ir jāizmanto</w:t>
            </w:r>
            <w:r>
              <w:rPr>
                <w:rFonts w:ascii="Times New Roman" w:eastAsia="Times New Roman" w:hAnsi="Times New Roman" w:cs="Times New Roman"/>
                <w:sz w:val="24"/>
                <w:szCs w:val="24"/>
                <w:lang w:eastAsia="lv-LV"/>
              </w:rPr>
              <w:t xml:space="preserve"> dažāda smaguma stresa </w:t>
            </w:r>
            <w:r w:rsidR="0090131B">
              <w:rPr>
                <w:rFonts w:ascii="Times New Roman" w:eastAsia="Times New Roman" w:hAnsi="Times New Roman" w:cs="Times New Roman"/>
                <w:sz w:val="24"/>
                <w:szCs w:val="24"/>
                <w:lang w:eastAsia="lv-LV"/>
              </w:rPr>
              <w:t>testi</w:t>
            </w:r>
            <w:r>
              <w:rPr>
                <w:rFonts w:ascii="Times New Roman" w:eastAsia="Times New Roman" w:hAnsi="Times New Roman" w:cs="Times New Roman"/>
                <w:sz w:val="24"/>
                <w:szCs w:val="24"/>
                <w:lang w:eastAsia="lv-LV"/>
              </w:rPr>
              <w:t>;</w:t>
            </w:r>
          </w:p>
          <w:p w14:paraId="072D764F" w14:textId="1D1498CE" w:rsidR="00906FF7" w:rsidRDefault="00906FF7"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nosaka prasību turēt aktīvus, kas pieejami tūlītēja finansējuma saņemšanai no centrālās bankas, atbilstoši izstrādātajam rīcības plānam;</w:t>
            </w:r>
          </w:p>
          <w:p w14:paraId="099D70E2" w14:textId="557023DE" w:rsidR="001655B7" w:rsidRPr="00314AC9" w:rsidRDefault="001655B7"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sidRPr="00C21D36">
              <w:rPr>
                <w:rFonts w:ascii="Times New Roman" w:hAnsi="Times New Roman" w:cs="Times New Roman"/>
                <w:sz w:val="24"/>
                <w:szCs w:val="24"/>
                <w:shd w:val="clear" w:color="auto" w:fill="FFFFFF"/>
              </w:rPr>
              <w:t>precizē pārskatā par</w:t>
            </w:r>
            <w:r>
              <w:rPr>
                <w:rFonts w:ascii="Times New Roman" w:hAnsi="Times New Roman" w:cs="Times New Roman"/>
                <w:sz w:val="24"/>
                <w:szCs w:val="24"/>
                <w:shd w:val="clear" w:color="auto" w:fill="FFFFFF"/>
              </w:rPr>
              <w:t xml:space="preserve"> likviditātes</w:t>
            </w:r>
            <w:r w:rsidRPr="00C21D36">
              <w:rPr>
                <w:rFonts w:ascii="Times New Roman" w:hAnsi="Times New Roman" w:cs="Times New Roman"/>
                <w:sz w:val="24"/>
                <w:szCs w:val="24"/>
                <w:shd w:val="clear" w:color="auto" w:fill="FFFFFF"/>
              </w:rPr>
              <w:t xml:space="preserve"> pietiekamības novērtēšanas procesu iekļaujamo informāciju</w:t>
            </w:r>
            <w:r w:rsidRPr="008B5D29">
              <w:rPr>
                <w:rFonts w:ascii="Times New Roman" w:hAnsi="Times New Roman" w:cs="Times New Roman"/>
                <w:sz w:val="24"/>
                <w:szCs w:val="24"/>
                <w:shd w:val="clear" w:color="auto" w:fill="FFFFFF"/>
              </w:rPr>
              <w:t>;</w:t>
            </w:r>
          </w:p>
          <w:p w14:paraId="543096CA" w14:textId="7BA7E9B2" w:rsidR="007F3E20" w:rsidRPr="00005BDC" w:rsidRDefault="007F3E20"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sidRPr="007F3E20">
              <w:rPr>
                <w:rFonts w:ascii="Times New Roman" w:eastAsia="Times New Roman" w:hAnsi="Times New Roman" w:cs="Times New Roman"/>
                <w:sz w:val="24"/>
                <w:szCs w:val="24"/>
                <w:lang w:eastAsia="lv-LV"/>
              </w:rPr>
              <w:t xml:space="preserve">attiecībā uz kredītiestādi, kura saskaņā ar Latvijas Bankas padomes lēmumu nav identificēta kā cita sistēmiski nozīmīga iestāde Kredītiestāžu likuma izpratnē, nosaka informācijas par </w:t>
            </w:r>
            <w:r>
              <w:rPr>
                <w:rFonts w:ascii="Times New Roman" w:eastAsia="Times New Roman" w:hAnsi="Times New Roman" w:cs="Times New Roman"/>
                <w:sz w:val="24"/>
                <w:szCs w:val="24"/>
                <w:lang w:eastAsia="lv-LV"/>
              </w:rPr>
              <w:t>likviditātes</w:t>
            </w:r>
            <w:r w:rsidRPr="007F3E20">
              <w:rPr>
                <w:rFonts w:ascii="Times New Roman" w:eastAsia="Times New Roman" w:hAnsi="Times New Roman" w:cs="Times New Roman"/>
                <w:sz w:val="24"/>
                <w:szCs w:val="24"/>
                <w:lang w:eastAsia="lv-LV"/>
              </w:rPr>
              <w:t xml:space="preserve"> pietiekamības novērtēšanas procesu sniegšanas termiņu, t.</w:t>
            </w:r>
            <w:r w:rsidR="00CF7D64">
              <w:rPr>
                <w:rFonts w:ascii="Times New Roman" w:eastAsia="Times New Roman" w:hAnsi="Times New Roman" w:cs="Times New Roman"/>
                <w:sz w:val="24"/>
                <w:szCs w:val="24"/>
                <w:lang w:eastAsia="lv-LV"/>
              </w:rPr>
              <w:t> </w:t>
            </w:r>
            <w:r w:rsidRPr="007F3E20">
              <w:rPr>
                <w:rFonts w:ascii="Times New Roman" w:eastAsia="Times New Roman" w:hAnsi="Times New Roman" w:cs="Times New Roman"/>
                <w:sz w:val="24"/>
                <w:szCs w:val="24"/>
                <w:lang w:eastAsia="lv-LV"/>
              </w:rPr>
              <w:t>i., līdz pārskata gadam sekojošā gada 30.</w:t>
            </w:r>
            <w:r w:rsidR="00CF7D64">
              <w:rPr>
                <w:rFonts w:ascii="Times New Roman" w:eastAsia="Times New Roman" w:hAnsi="Times New Roman" w:cs="Times New Roman"/>
                <w:sz w:val="24"/>
                <w:szCs w:val="24"/>
                <w:lang w:eastAsia="lv-LV"/>
              </w:rPr>
              <w:t> </w:t>
            </w:r>
            <w:r w:rsidRPr="007F3E20">
              <w:rPr>
                <w:rFonts w:ascii="Times New Roman" w:eastAsia="Times New Roman" w:hAnsi="Times New Roman" w:cs="Times New Roman"/>
                <w:sz w:val="24"/>
                <w:szCs w:val="24"/>
                <w:lang w:eastAsia="lv-LV"/>
              </w:rPr>
              <w:t xml:space="preserve">jūnijam, kā arī prasību par </w:t>
            </w:r>
            <w:r>
              <w:rPr>
                <w:rFonts w:ascii="Times New Roman" w:eastAsia="Times New Roman" w:hAnsi="Times New Roman" w:cs="Times New Roman"/>
                <w:sz w:val="24"/>
                <w:szCs w:val="24"/>
                <w:lang w:eastAsia="lv-LV"/>
              </w:rPr>
              <w:t>likviditātes</w:t>
            </w:r>
            <w:r w:rsidRPr="007F3E20">
              <w:rPr>
                <w:rFonts w:ascii="Times New Roman" w:eastAsia="Times New Roman" w:hAnsi="Times New Roman" w:cs="Times New Roman"/>
                <w:sz w:val="24"/>
                <w:szCs w:val="24"/>
                <w:lang w:eastAsia="lv-LV"/>
              </w:rPr>
              <w:t xml:space="preserve"> pietiekamības novērtēšanas procesa atskaites datumu noteikt pārskata gada beigu datumu (pašlaik minētās kredītiestādes katru gadu līdz 1.</w:t>
            </w:r>
            <w:r w:rsidR="00CF7D64">
              <w:rPr>
                <w:rFonts w:ascii="Times New Roman" w:eastAsia="Times New Roman" w:hAnsi="Times New Roman" w:cs="Times New Roman"/>
                <w:sz w:val="24"/>
                <w:szCs w:val="24"/>
                <w:lang w:eastAsia="lv-LV"/>
              </w:rPr>
              <w:t> </w:t>
            </w:r>
            <w:r w:rsidRPr="007F3E20">
              <w:rPr>
                <w:rFonts w:ascii="Times New Roman" w:eastAsia="Times New Roman" w:hAnsi="Times New Roman" w:cs="Times New Roman"/>
                <w:sz w:val="24"/>
                <w:szCs w:val="24"/>
                <w:lang w:eastAsia="lv-LV"/>
              </w:rPr>
              <w:t xml:space="preserve">decembrim informē Latvijas Banku par nākamajā kalendārajā gadā plānoto pārskata par </w:t>
            </w:r>
            <w:r>
              <w:rPr>
                <w:rFonts w:ascii="Times New Roman" w:eastAsia="Times New Roman" w:hAnsi="Times New Roman" w:cs="Times New Roman"/>
                <w:sz w:val="24"/>
                <w:szCs w:val="24"/>
                <w:lang w:eastAsia="lv-LV"/>
              </w:rPr>
              <w:t>likviditātes</w:t>
            </w:r>
            <w:r w:rsidRPr="007F3E20">
              <w:rPr>
                <w:rFonts w:ascii="Times New Roman" w:eastAsia="Times New Roman" w:hAnsi="Times New Roman" w:cs="Times New Roman"/>
                <w:sz w:val="24"/>
                <w:szCs w:val="24"/>
                <w:lang w:eastAsia="lv-LV"/>
              </w:rPr>
              <w:t xml:space="preserve"> pietiekamības novērtēšanas procesu sniegšanas Latvijas Bankai termiņu un par </w:t>
            </w:r>
            <w:r>
              <w:rPr>
                <w:rFonts w:ascii="Times New Roman" w:eastAsia="Times New Roman" w:hAnsi="Times New Roman" w:cs="Times New Roman"/>
                <w:sz w:val="24"/>
                <w:szCs w:val="24"/>
                <w:lang w:eastAsia="lv-LV"/>
              </w:rPr>
              <w:t xml:space="preserve">likviditātes </w:t>
            </w:r>
            <w:r w:rsidRPr="007F3E20">
              <w:rPr>
                <w:rFonts w:ascii="Times New Roman" w:eastAsia="Times New Roman" w:hAnsi="Times New Roman" w:cs="Times New Roman"/>
                <w:sz w:val="24"/>
                <w:szCs w:val="24"/>
                <w:lang w:eastAsia="lv-LV"/>
              </w:rPr>
              <w:t>pietiekamības novērtēšanas procesa atskaites datumu);</w:t>
            </w:r>
          </w:p>
          <w:p w14:paraId="200D7E35" w14:textId="2E774F12" w:rsidR="000D59F4" w:rsidRPr="00314AC9" w:rsidRDefault="00E72575" w:rsidP="00CC7E25">
            <w:pPr>
              <w:pStyle w:val="ListParagraph"/>
              <w:numPr>
                <w:ilvl w:val="0"/>
                <w:numId w:val="2"/>
              </w:numPr>
              <w:spacing w:after="120" w:line="240" w:lineRule="auto"/>
              <w:contextualSpacing w:val="0"/>
              <w:jc w:val="both"/>
              <w:rPr>
                <w:rFonts w:ascii="Times New Roman" w:eastAsia="Times New Roman" w:hAnsi="Times New Roman" w:cs="Times New Roman"/>
                <w:sz w:val="24"/>
                <w:szCs w:val="24"/>
                <w:lang w:eastAsia="lv-LV"/>
              </w:rPr>
            </w:pPr>
            <w:r w:rsidRPr="00CF3045">
              <w:rPr>
                <w:rFonts w:ascii="Times New Roman" w:hAnsi="Times New Roman" w:cs="Times New Roman"/>
                <w:sz w:val="24"/>
                <w:szCs w:val="24"/>
                <w:shd w:val="clear" w:color="auto" w:fill="FFFFFF"/>
              </w:rPr>
              <w:t xml:space="preserve">attiecībā uz spēkā esošo prasību pārskatam par </w:t>
            </w:r>
            <w:r>
              <w:rPr>
                <w:rFonts w:ascii="Times New Roman" w:hAnsi="Times New Roman" w:cs="Times New Roman"/>
                <w:sz w:val="24"/>
                <w:szCs w:val="24"/>
                <w:shd w:val="clear" w:color="auto" w:fill="FFFFFF"/>
              </w:rPr>
              <w:t>likvi</w:t>
            </w:r>
            <w:r w:rsidR="009A00B6">
              <w:rPr>
                <w:rFonts w:ascii="Times New Roman" w:hAnsi="Times New Roman" w:cs="Times New Roman"/>
                <w:sz w:val="24"/>
                <w:szCs w:val="24"/>
                <w:shd w:val="clear" w:color="auto" w:fill="FFFFFF"/>
              </w:rPr>
              <w:t>d</w:t>
            </w:r>
            <w:r>
              <w:rPr>
                <w:rFonts w:ascii="Times New Roman" w:hAnsi="Times New Roman" w:cs="Times New Roman"/>
                <w:sz w:val="24"/>
                <w:szCs w:val="24"/>
                <w:shd w:val="clear" w:color="auto" w:fill="FFFFFF"/>
              </w:rPr>
              <w:t>itātes</w:t>
            </w:r>
            <w:r w:rsidRPr="00CF3045">
              <w:rPr>
                <w:rFonts w:ascii="Times New Roman" w:hAnsi="Times New Roman" w:cs="Times New Roman"/>
                <w:sz w:val="24"/>
                <w:szCs w:val="24"/>
                <w:shd w:val="clear" w:color="auto" w:fill="FFFFFF"/>
              </w:rPr>
              <w:t xml:space="preserve"> pietiekamības novērtēšanas procesu pievienot arī aprakstu, kurā norād</w:t>
            </w:r>
            <w:r w:rsidR="007A3DBA">
              <w:rPr>
                <w:rFonts w:ascii="Times New Roman" w:hAnsi="Times New Roman" w:cs="Times New Roman"/>
                <w:sz w:val="24"/>
                <w:szCs w:val="24"/>
                <w:shd w:val="clear" w:color="auto" w:fill="FFFFFF"/>
              </w:rPr>
              <w:t>īti</w:t>
            </w:r>
            <w:r w:rsidRPr="00CF3045">
              <w:rPr>
                <w:rFonts w:ascii="Times New Roman" w:hAnsi="Times New Roman" w:cs="Times New Roman"/>
                <w:sz w:val="24"/>
                <w:szCs w:val="24"/>
                <w:shd w:val="clear" w:color="auto" w:fill="FFFFFF"/>
              </w:rPr>
              <w:t xml:space="preserve"> vis</w:t>
            </w:r>
            <w:r w:rsidR="007A3DBA">
              <w:rPr>
                <w:rFonts w:ascii="Times New Roman" w:hAnsi="Times New Roman" w:cs="Times New Roman"/>
                <w:sz w:val="24"/>
                <w:szCs w:val="24"/>
                <w:shd w:val="clear" w:color="auto" w:fill="FFFFFF"/>
              </w:rPr>
              <w:t>i</w:t>
            </w:r>
            <w:r w:rsidRPr="00CF3045">
              <w:rPr>
                <w:rFonts w:ascii="Times New Roman" w:hAnsi="Times New Roman" w:cs="Times New Roman"/>
                <w:sz w:val="24"/>
                <w:szCs w:val="24"/>
                <w:shd w:val="clear" w:color="auto" w:fill="FFFFFF"/>
              </w:rPr>
              <w:t xml:space="preserve"> Latvijas Bankai iesniegt</w:t>
            </w:r>
            <w:r w:rsidR="007A3DBA">
              <w:rPr>
                <w:rFonts w:ascii="Times New Roman" w:hAnsi="Times New Roman" w:cs="Times New Roman"/>
                <w:sz w:val="24"/>
                <w:szCs w:val="24"/>
                <w:shd w:val="clear" w:color="auto" w:fill="FFFFFF"/>
              </w:rPr>
              <w:t>ie</w:t>
            </w:r>
            <w:r w:rsidRPr="00CF3045">
              <w:rPr>
                <w:rFonts w:ascii="Times New Roman" w:hAnsi="Times New Roman" w:cs="Times New Roman"/>
                <w:sz w:val="24"/>
                <w:szCs w:val="24"/>
                <w:shd w:val="clear" w:color="auto" w:fill="FFFFFF"/>
              </w:rPr>
              <w:t xml:space="preserve"> ar </w:t>
            </w:r>
            <w:r w:rsidR="0093057A">
              <w:rPr>
                <w:rFonts w:ascii="Times New Roman" w:hAnsi="Times New Roman" w:cs="Times New Roman"/>
                <w:sz w:val="24"/>
                <w:szCs w:val="24"/>
                <w:shd w:val="clear" w:color="auto" w:fill="FFFFFF"/>
              </w:rPr>
              <w:t>likviditātes</w:t>
            </w:r>
            <w:r w:rsidRPr="00CF3045">
              <w:rPr>
                <w:rFonts w:ascii="Times New Roman" w:hAnsi="Times New Roman" w:cs="Times New Roman"/>
                <w:sz w:val="24"/>
                <w:szCs w:val="24"/>
                <w:shd w:val="clear" w:color="auto" w:fill="FFFFFF"/>
              </w:rPr>
              <w:t xml:space="preserve"> pietiekamības novērtēšanas procesu saistīt</w:t>
            </w:r>
            <w:r w:rsidR="007A3DBA">
              <w:rPr>
                <w:rFonts w:ascii="Times New Roman" w:hAnsi="Times New Roman" w:cs="Times New Roman"/>
                <w:sz w:val="24"/>
                <w:szCs w:val="24"/>
                <w:shd w:val="clear" w:color="auto" w:fill="FFFFFF"/>
              </w:rPr>
              <w:t>ie</w:t>
            </w:r>
            <w:r w:rsidRPr="00CF3045">
              <w:rPr>
                <w:rFonts w:ascii="Times New Roman" w:hAnsi="Times New Roman" w:cs="Times New Roman"/>
                <w:sz w:val="24"/>
                <w:szCs w:val="24"/>
                <w:shd w:val="clear" w:color="auto" w:fill="FFFFFF"/>
              </w:rPr>
              <w:t xml:space="preserve"> dokument</w:t>
            </w:r>
            <w:r w:rsidR="007A3DBA">
              <w:rPr>
                <w:rFonts w:ascii="Times New Roman" w:hAnsi="Times New Roman" w:cs="Times New Roman"/>
                <w:sz w:val="24"/>
                <w:szCs w:val="24"/>
                <w:shd w:val="clear" w:color="auto" w:fill="FFFFFF"/>
              </w:rPr>
              <w:t>i</w:t>
            </w:r>
            <w:r w:rsidRPr="00CF3045">
              <w:rPr>
                <w:rFonts w:ascii="Times New Roman" w:hAnsi="Times New Roman" w:cs="Times New Roman"/>
                <w:sz w:val="24"/>
                <w:szCs w:val="24"/>
                <w:shd w:val="clear" w:color="auto" w:fill="FFFFFF"/>
              </w:rPr>
              <w:t xml:space="preserve">, norādot katra dokumenta statusu salīdzinājumā ar iepriekšējo pārskatu, kā arī attiecībā uz spēkā esošo prasību norādīt minētajos pārskatos </w:t>
            </w:r>
            <w:r w:rsidRPr="00CF3045">
              <w:rPr>
                <w:rFonts w:ascii="Times New Roman" w:hAnsi="Times New Roman" w:cs="Times New Roman"/>
                <w:sz w:val="24"/>
                <w:szCs w:val="24"/>
                <w:shd w:val="clear" w:color="auto" w:fill="FFFFFF"/>
              </w:rPr>
              <w:lastRenderedPageBreak/>
              <w:t xml:space="preserve">iekļaujamās informācijas atrašanās vietu Latvijas Bankai iesniegtajos dokumentos nosaka prasību minēto aprakstu un informāciju sagatavot atbilstoši </w:t>
            </w:r>
            <w:r w:rsidR="007678C9">
              <w:rPr>
                <w:rFonts w:ascii="Times New Roman" w:hAnsi="Times New Roman" w:cs="Times New Roman"/>
                <w:sz w:val="24"/>
                <w:szCs w:val="24"/>
                <w:shd w:val="clear" w:color="auto" w:fill="FFFFFF"/>
              </w:rPr>
              <w:t>N</w:t>
            </w:r>
            <w:r w:rsidRPr="00CF3045">
              <w:rPr>
                <w:rFonts w:ascii="Times New Roman" w:hAnsi="Times New Roman" w:cs="Times New Roman"/>
                <w:sz w:val="24"/>
                <w:szCs w:val="24"/>
                <w:shd w:val="clear" w:color="auto" w:fill="FFFFFF"/>
              </w:rPr>
              <w:t xml:space="preserve">oteikumu projekta </w:t>
            </w:r>
            <w:r w:rsidRPr="00500862">
              <w:rPr>
                <w:rFonts w:ascii="Times New Roman" w:hAnsi="Times New Roman" w:cs="Times New Roman"/>
                <w:sz w:val="24"/>
                <w:szCs w:val="24"/>
                <w:shd w:val="clear" w:color="auto" w:fill="FFFFFF"/>
              </w:rPr>
              <w:t>pielikum</w:t>
            </w:r>
            <w:r w:rsidR="0058668C">
              <w:rPr>
                <w:rFonts w:ascii="Times New Roman" w:hAnsi="Times New Roman" w:cs="Times New Roman"/>
                <w:sz w:val="24"/>
                <w:szCs w:val="24"/>
                <w:shd w:val="clear" w:color="auto" w:fill="FFFFFF"/>
              </w:rPr>
              <w:t>am</w:t>
            </w:r>
            <w:r w:rsidR="00AD34CE" w:rsidRPr="00314AC9">
              <w:rPr>
                <w:rFonts w:ascii="Times New Roman" w:eastAsia="Times New Roman" w:hAnsi="Times New Roman" w:cs="Times New Roman"/>
                <w:sz w:val="24"/>
                <w:szCs w:val="24"/>
                <w:lang w:eastAsia="lv-LV"/>
              </w:rPr>
              <w:t>.</w:t>
            </w:r>
          </w:p>
          <w:p w14:paraId="1D966252" w14:textId="0D07E1D8" w:rsidR="00DF0840" w:rsidRPr="00005BDC" w:rsidRDefault="00DF0840" w:rsidP="00CC7E25">
            <w:pPr>
              <w:spacing w:after="120" w:line="240" w:lineRule="auto"/>
              <w:jc w:val="both"/>
              <w:rPr>
                <w:rFonts w:ascii="Times New Roman" w:eastAsia="Times New Roman" w:hAnsi="Times New Roman" w:cs="Times New Roman"/>
                <w:sz w:val="24"/>
                <w:szCs w:val="24"/>
                <w:lang w:eastAsia="lv-LV"/>
              </w:rPr>
            </w:pPr>
            <w:r w:rsidRPr="001C6DD7">
              <w:rPr>
                <w:rFonts w:ascii="Times New Roman" w:hAnsi="Times New Roman" w:cs="Times New Roman"/>
                <w:sz w:val="24"/>
                <w:szCs w:val="24"/>
                <w:shd w:val="clear" w:color="auto" w:fill="FFFFFF"/>
              </w:rPr>
              <w:t xml:space="preserve">Līdz ar </w:t>
            </w:r>
            <w:r w:rsidR="007678C9">
              <w:rPr>
                <w:rFonts w:ascii="Times New Roman" w:hAnsi="Times New Roman" w:cs="Times New Roman"/>
                <w:sz w:val="24"/>
                <w:szCs w:val="24"/>
                <w:shd w:val="clear" w:color="auto" w:fill="FFFFFF"/>
              </w:rPr>
              <w:t>N</w:t>
            </w:r>
            <w:r w:rsidRPr="001C6DD7">
              <w:rPr>
                <w:rFonts w:ascii="Times New Roman" w:hAnsi="Times New Roman" w:cs="Times New Roman"/>
                <w:sz w:val="24"/>
                <w:szCs w:val="24"/>
                <w:shd w:val="clear" w:color="auto" w:fill="FFFFFF"/>
              </w:rPr>
              <w:t>oteikumu projekta stāšanos spēkā spēku zaudēs Noteikumi Nr. </w:t>
            </w:r>
            <w:r>
              <w:rPr>
                <w:rFonts w:ascii="Times New Roman" w:hAnsi="Times New Roman" w:cs="Times New Roman"/>
                <w:sz w:val="24"/>
                <w:szCs w:val="24"/>
                <w:shd w:val="clear" w:color="auto" w:fill="FFFFFF"/>
              </w:rPr>
              <w:t>218.</w:t>
            </w:r>
          </w:p>
        </w:tc>
      </w:tr>
      <w:tr w:rsidR="000B4E0A" w:rsidRPr="000B4E0A" w14:paraId="725566C6" w14:textId="77777777" w:rsidTr="00A00DBA">
        <w:trPr>
          <w:trHeight w:val="567"/>
        </w:trPr>
        <w:tc>
          <w:tcPr>
            <w:tcW w:w="1248" w:type="pct"/>
            <w:shd w:val="clear" w:color="auto" w:fill="auto"/>
            <w:hideMark/>
          </w:tcPr>
          <w:p w14:paraId="09E6493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62930C3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C0E62F6" w14:textId="15D8F1CC" w:rsidR="00FC2161" w:rsidRDefault="00FC2161" w:rsidP="00CC7E25">
            <w:pPr>
              <w:spacing w:after="120" w:line="240" w:lineRule="auto"/>
              <w:jc w:val="both"/>
              <w:rPr>
                <w:rFonts w:ascii="Times New Roman" w:hAnsi="Times New Roman" w:cs="Times New Roman"/>
                <w:sz w:val="24"/>
                <w:szCs w:val="24"/>
              </w:rPr>
            </w:pPr>
            <w:r w:rsidRPr="009B687B">
              <w:rPr>
                <w:rFonts w:ascii="Times New Roman" w:hAnsi="Times New Roman" w:cs="Times New Roman"/>
                <w:sz w:val="24"/>
                <w:szCs w:val="24"/>
              </w:rPr>
              <w:t xml:space="preserve">Noteikumu projekta leģitīmais mērķis ir citu personu tiesību un sabiedrības labklājības </w:t>
            </w:r>
            <w:r w:rsidR="00A71EAA">
              <w:rPr>
                <w:rFonts w:ascii="Times New Roman" w:hAnsi="Times New Roman" w:cs="Times New Roman"/>
                <w:sz w:val="24"/>
                <w:szCs w:val="24"/>
              </w:rPr>
              <w:t>aizsardzība</w:t>
            </w:r>
            <w:r w:rsidRPr="009B687B">
              <w:rPr>
                <w:rFonts w:ascii="Times New Roman" w:hAnsi="Times New Roman" w:cs="Times New Roman"/>
                <w:sz w:val="24"/>
                <w:szCs w:val="24"/>
              </w:rPr>
              <w:t>.</w:t>
            </w:r>
          </w:p>
          <w:p w14:paraId="7265FF3D" w14:textId="32213C28" w:rsidR="00FC2161" w:rsidRDefault="00FC2161" w:rsidP="00677613">
            <w:pPr>
              <w:spacing w:after="120" w:line="240" w:lineRule="auto"/>
              <w:jc w:val="both"/>
              <w:rPr>
                <w:rFonts w:ascii="Times New Roman" w:hAnsi="Times New Roman" w:cs="Times New Roman"/>
                <w:sz w:val="24"/>
                <w:szCs w:val="24"/>
              </w:rPr>
            </w:pPr>
            <w:r w:rsidRPr="00D33A6A">
              <w:rPr>
                <w:rFonts w:ascii="Times New Roman" w:hAnsi="Times New Roman" w:cs="Times New Roman"/>
                <w:sz w:val="24"/>
                <w:szCs w:val="24"/>
              </w:rPr>
              <w:t>Leģitīmais mērķis – sabiedrības labklājība</w:t>
            </w:r>
            <w:r w:rsidR="00397965">
              <w:rPr>
                <w:rFonts w:ascii="Times New Roman" w:hAnsi="Times New Roman" w:cs="Times New Roman"/>
                <w:sz w:val="24"/>
                <w:szCs w:val="24"/>
              </w:rPr>
              <w:t>s aizsardzība</w:t>
            </w:r>
            <w:r w:rsidRPr="00D33A6A">
              <w:rPr>
                <w:rFonts w:ascii="Times New Roman" w:hAnsi="Times New Roman" w:cs="Times New Roman"/>
                <w:sz w:val="24"/>
                <w:szCs w:val="24"/>
              </w:rPr>
              <w:t xml:space="preserve"> – tiek sasniegts, nosakot prasības </w:t>
            </w:r>
            <w:r>
              <w:rPr>
                <w:rFonts w:ascii="Times New Roman" w:hAnsi="Times New Roman" w:cs="Times New Roman"/>
                <w:sz w:val="24"/>
                <w:szCs w:val="24"/>
              </w:rPr>
              <w:t>likviditātes riska pārvaldīšanai</w:t>
            </w:r>
            <w:r w:rsidR="00A71EAA">
              <w:rPr>
                <w:rFonts w:ascii="Times New Roman" w:hAnsi="Times New Roman" w:cs="Times New Roman"/>
                <w:sz w:val="24"/>
                <w:szCs w:val="24"/>
              </w:rPr>
              <w:t>,</w:t>
            </w:r>
            <w:r>
              <w:rPr>
                <w:rFonts w:ascii="Times New Roman" w:hAnsi="Times New Roman" w:cs="Times New Roman"/>
                <w:sz w:val="24"/>
                <w:szCs w:val="24"/>
              </w:rPr>
              <w:t xml:space="preserve"> likviditātes pietiekamības novērtēšanas procesa izveidei un īstenošanai un</w:t>
            </w:r>
            <w:r w:rsidRPr="00D33A6A">
              <w:rPr>
                <w:rFonts w:ascii="Times New Roman" w:hAnsi="Times New Roman" w:cs="Times New Roman"/>
                <w:sz w:val="24"/>
                <w:szCs w:val="24"/>
              </w:rPr>
              <w:t xml:space="preserve"> </w:t>
            </w:r>
            <w:r>
              <w:rPr>
                <w:rFonts w:ascii="Times New Roman" w:hAnsi="Times New Roman" w:cs="Times New Roman"/>
                <w:sz w:val="24"/>
                <w:szCs w:val="24"/>
              </w:rPr>
              <w:t xml:space="preserve">prasības </w:t>
            </w:r>
            <w:r w:rsidRPr="00D33A6A">
              <w:rPr>
                <w:rFonts w:ascii="Times New Roman" w:hAnsi="Times New Roman" w:cs="Times New Roman"/>
                <w:sz w:val="24"/>
                <w:szCs w:val="24"/>
              </w:rPr>
              <w:t>informācij</w:t>
            </w:r>
            <w:r>
              <w:rPr>
                <w:rFonts w:ascii="Times New Roman" w:hAnsi="Times New Roman" w:cs="Times New Roman"/>
                <w:sz w:val="24"/>
                <w:szCs w:val="24"/>
              </w:rPr>
              <w:t>as</w:t>
            </w:r>
            <w:r w:rsidRPr="00D33A6A">
              <w:rPr>
                <w:rFonts w:ascii="Times New Roman" w:hAnsi="Times New Roman" w:cs="Times New Roman"/>
                <w:sz w:val="24"/>
                <w:szCs w:val="24"/>
              </w:rPr>
              <w:t xml:space="preserve"> par minēto </w:t>
            </w:r>
            <w:r>
              <w:rPr>
                <w:rFonts w:ascii="Times New Roman" w:hAnsi="Times New Roman" w:cs="Times New Roman"/>
                <w:sz w:val="24"/>
                <w:szCs w:val="24"/>
              </w:rPr>
              <w:t>procesu</w:t>
            </w:r>
            <w:r w:rsidRPr="00D33A6A">
              <w:rPr>
                <w:rFonts w:ascii="Times New Roman" w:hAnsi="Times New Roman" w:cs="Times New Roman"/>
                <w:sz w:val="24"/>
                <w:szCs w:val="24"/>
              </w:rPr>
              <w:t xml:space="preserve"> </w:t>
            </w:r>
            <w:r>
              <w:rPr>
                <w:rFonts w:ascii="Times New Roman" w:hAnsi="Times New Roman" w:cs="Times New Roman"/>
                <w:sz w:val="24"/>
                <w:szCs w:val="24"/>
              </w:rPr>
              <w:t xml:space="preserve">sagatavošanai un iesniegšanai </w:t>
            </w:r>
            <w:r w:rsidRPr="00D33A6A">
              <w:rPr>
                <w:rFonts w:ascii="Times New Roman" w:hAnsi="Times New Roman" w:cs="Times New Roman"/>
                <w:sz w:val="24"/>
                <w:szCs w:val="24"/>
              </w:rPr>
              <w:t>Latvijas Bank</w:t>
            </w:r>
            <w:r w:rsidR="007A3DBA">
              <w:rPr>
                <w:rFonts w:ascii="Times New Roman" w:hAnsi="Times New Roman" w:cs="Times New Roman"/>
                <w:sz w:val="24"/>
                <w:szCs w:val="24"/>
              </w:rPr>
              <w:t>ā</w:t>
            </w:r>
            <w:r w:rsidRPr="00D33A6A">
              <w:rPr>
                <w:rFonts w:ascii="Times New Roman" w:hAnsi="Times New Roman" w:cs="Times New Roman"/>
                <w:sz w:val="24"/>
                <w:szCs w:val="24"/>
              </w:rPr>
              <w:t>, lai nodrošinātu Latvijas Banku ar Kredītiestāžu likuma 101.</w:t>
            </w:r>
            <w:r w:rsidRPr="00D33A6A">
              <w:rPr>
                <w:rFonts w:ascii="Times New Roman" w:hAnsi="Times New Roman" w:cs="Times New Roman"/>
                <w:sz w:val="24"/>
                <w:szCs w:val="24"/>
                <w:vertAlign w:val="superscript"/>
              </w:rPr>
              <w:t>3</w:t>
            </w:r>
            <w:r w:rsidR="008B5056">
              <w:rPr>
                <w:rFonts w:ascii="Times New Roman" w:hAnsi="Times New Roman" w:cs="Times New Roman"/>
                <w:sz w:val="24"/>
                <w:szCs w:val="24"/>
              </w:rPr>
              <w:t> </w:t>
            </w:r>
            <w:r w:rsidRPr="00D33A6A">
              <w:rPr>
                <w:rFonts w:ascii="Times New Roman" w:hAnsi="Times New Roman" w:cs="Times New Roman"/>
                <w:sz w:val="24"/>
                <w:szCs w:val="24"/>
              </w:rPr>
              <w:t>pant</w:t>
            </w:r>
            <w:r w:rsidR="008B5056">
              <w:rPr>
                <w:rFonts w:ascii="Times New Roman" w:hAnsi="Times New Roman" w:cs="Times New Roman"/>
                <w:sz w:val="24"/>
                <w:szCs w:val="24"/>
              </w:rPr>
              <w:t>ā</w:t>
            </w:r>
            <w:r w:rsidRPr="00D33A6A">
              <w:rPr>
                <w:rFonts w:ascii="Times New Roman" w:hAnsi="Times New Roman" w:cs="Times New Roman"/>
                <w:sz w:val="24"/>
                <w:szCs w:val="24"/>
              </w:rPr>
              <w:t xml:space="preserve"> noteikto uzdevumu veikšanai nepieciešamo informāciju, tādējādi veicinot finanšu tirgus ilgtspējīgu attīstību un stabilitāti.</w:t>
            </w:r>
          </w:p>
          <w:p w14:paraId="262849FF" w14:textId="2A47AF64" w:rsidR="001D607C" w:rsidRDefault="001D607C" w:rsidP="00677613">
            <w:pPr>
              <w:spacing w:after="120" w:line="240" w:lineRule="auto"/>
              <w:jc w:val="both"/>
              <w:rPr>
                <w:rFonts w:ascii="Times New Roman" w:hAnsi="Times New Roman" w:cs="Times New Roman"/>
                <w:sz w:val="24"/>
                <w:szCs w:val="24"/>
              </w:rPr>
            </w:pPr>
            <w:r w:rsidRPr="00C66F61">
              <w:rPr>
                <w:rFonts w:ascii="Times New Roman" w:hAnsi="Times New Roman" w:cs="Times New Roman"/>
                <w:sz w:val="24"/>
                <w:szCs w:val="24"/>
              </w:rPr>
              <w:t xml:space="preserve">Savukārt leģitīmais mērķis – citu personu tiesību aizsardzība – tiek sasniegts, nodrošinot kredītiestāžu uzraudzību, kas balstās uz harmonizētā veidā noteiktām prasībām kredītiestādes </w:t>
            </w:r>
            <w:r>
              <w:rPr>
                <w:rFonts w:ascii="Times New Roman" w:hAnsi="Times New Roman" w:cs="Times New Roman"/>
                <w:sz w:val="24"/>
                <w:szCs w:val="24"/>
              </w:rPr>
              <w:t>likviditātes riska pā</w:t>
            </w:r>
            <w:r w:rsidR="003B2243">
              <w:rPr>
                <w:rFonts w:ascii="Times New Roman" w:hAnsi="Times New Roman" w:cs="Times New Roman"/>
                <w:sz w:val="24"/>
                <w:szCs w:val="24"/>
              </w:rPr>
              <w:t xml:space="preserve">rvaldībai un likviditātes </w:t>
            </w:r>
            <w:r w:rsidRPr="006613AF">
              <w:rPr>
                <w:rFonts w:ascii="Times New Roman" w:hAnsi="Times New Roman" w:cs="Times New Roman"/>
                <w:sz w:val="24"/>
                <w:szCs w:val="24"/>
              </w:rPr>
              <w:t>pietiekamības novērtēšanas procesa izveidei un īstenošanai</w:t>
            </w:r>
            <w:r>
              <w:rPr>
                <w:rFonts w:ascii="Times New Roman" w:hAnsi="Times New Roman" w:cs="Times New Roman"/>
                <w:sz w:val="24"/>
                <w:szCs w:val="24"/>
              </w:rPr>
              <w:t>, kā arī</w:t>
            </w:r>
            <w:r w:rsidRPr="00C66F61">
              <w:rPr>
                <w:rFonts w:ascii="Times New Roman" w:hAnsi="Times New Roman" w:cs="Times New Roman"/>
                <w:sz w:val="24"/>
                <w:szCs w:val="24"/>
              </w:rPr>
              <w:t xml:space="preserve"> informācijas par </w:t>
            </w:r>
            <w:r>
              <w:rPr>
                <w:rFonts w:ascii="Times New Roman" w:hAnsi="Times New Roman" w:cs="Times New Roman"/>
                <w:sz w:val="24"/>
                <w:szCs w:val="24"/>
              </w:rPr>
              <w:t>minēto procesu</w:t>
            </w:r>
            <w:r w:rsidRPr="00C66F61">
              <w:rPr>
                <w:rFonts w:ascii="Times New Roman" w:hAnsi="Times New Roman" w:cs="Times New Roman"/>
                <w:sz w:val="24"/>
                <w:szCs w:val="24"/>
              </w:rPr>
              <w:t xml:space="preserve"> </w:t>
            </w:r>
            <w:r>
              <w:rPr>
                <w:rFonts w:ascii="Times New Roman" w:hAnsi="Times New Roman" w:cs="Times New Roman"/>
                <w:sz w:val="24"/>
                <w:szCs w:val="24"/>
              </w:rPr>
              <w:t xml:space="preserve">sagatavošanai un </w:t>
            </w:r>
            <w:r w:rsidRPr="00C66F61">
              <w:rPr>
                <w:rFonts w:ascii="Times New Roman" w:hAnsi="Times New Roman" w:cs="Times New Roman"/>
                <w:sz w:val="24"/>
                <w:szCs w:val="24"/>
              </w:rPr>
              <w:t>sniegšanai, tādējādi nodrošinot finanšu tirgus stabilitāti un uzticamību.</w:t>
            </w:r>
          </w:p>
          <w:p w14:paraId="3E482F8F" w14:textId="4F89440D" w:rsidR="009C6ECD" w:rsidRPr="00005BDC" w:rsidRDefault="001D607C" w:rsidP="00677613">
            <w:pPr>
              <w:spacing w:after="120" w:line="240" w:lineRule="auto"/>
              <w:jc w:val="both"/>
              <w:rPr>
                <w:rFonts w:ascii="Times New Roman" w:hAnsi="Times New Roman" w:cs="Times New Roman"/>
                <w:sz w:val="24"/>
                <w:szCs w:val="24"/>
              </w:rPr>
            </w:pPr>
            <w:r w:rsidRPr="009B687B">
              <w:rPr>
                <w:rFonts w:ascii="Times New Roman" w:hAnsi="Times New Roman" w:cs="Times New Roman"/>
                <w:sz w:val="24"/>
                <w:szCs w:val="24"/>
              </w:rPr>
              <w:t xml:space="preserve">Nosakot </w:t>
            </w:r>
            <w:r w:rsidRPr="001D3C3F">
              <w:rPr>
                <w:rFonts w:ascii="Times New Roman" w:hAnsi="Times New Roman" w:cs="Times New Roman"/>
                <w:sz w:val="24"/>
                <w:szCs w:val="24"/>
              </w:rPr>
              <w:t>finanšu tirgus dalībniekiem</w:t>
            </w:r>
            <w:r>
              <w:rPr>
                <w:rFonts w:ascii="Times New Roman" w:hAnsi="Times New Roman" w:cs="Times New Roman"/>
                <w:sz w:val="24"/>
                <w:szCs w:val="24"/>
              </w:rPr>
              <w:t xml:space="preserve"> minētās </w:t>
            </w:r>
            <w:r w:rsidRPr="009B687B">
              <w:rPr>
                <w:rFonts w:ascii="Times New Roman" w:hAnsi="Times New Roman" w:cs="Times New Roman"/>
                <w:sz w:val="24"/>
                <w:szCs w:val="24"/>
              </w:rPr>
              <w:t xml:space="preserve">prasības un veicot </w:t>
            </w:r>
            <w:r>
              <w:rPr>
                <w:rFonts w:ascii="Times New Roman" w:hAnsi="Times New Roman" w:cs="Times New Roman"/>
                <w:sz w:val="24"/>
                <w:szCs w:val="24"/>
              </w:rPr>
              <w:t xml:space="preserve">šo </w:t>
            </w:r>
            <w:r w:rsidRPr="009B687B">
              <w:rPr>
                <w:rFonts w:ascii="Times New Roman" w:hAnsi="Times New Roman" w:cs="Times New Roman"/>
                <w:sz w:val="24"/>
                <w:szCs w:val="24"/>
              </w:rPr>
              <w:t>prasību ievērošanas pārbaudes, Latvijas Banka nodrošina tai Latvijas Bankas likumā noteikto pienākumu – veicināt ieguldītāju un noguldītāju interešu aizsardzību un finanšu tirgus ilgtspējīgu attīstību un stabilitāti – izpildi.</w:t>
            </w:r>
          </w:p>
        </w:tc>
      </w:tr>
      <w:tr w:rsidR="000B4E0A" w:rsidRPr="000B4E0A" w14:paraId="7EDE226E" w14:textId="77777777" w:rsidTr="00A00DBA">
        <w:trPr>
          <w:trHeight w:val="567"/>
        </w:trPr>
        <w:tc>
          <w:tcPr>
            <w:tcW w:w="1248" w:type="pct"/>
            <w:shd w:val="clear" w:color="auto" w:fill="auto"/>
            <w:hideMark/>
          </w:tcPr>
          <w:p w14:paraId="5154B45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3998262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72D00F7E" w14:textId="2DD03506" w:rsidR="00684A21" w:rsidRPr="00684A21" w:rsidRDefault="00684A21" w:rsidP="00CC7E25">
            <w:pPr>
              <w:spacing w:after="120" w:line="240" w:lineRule="auto"/>
              <w:jc w:val="both"/>
              <w:rPr>
                <w:rFonts w:ascii="Times New Roman" w:eastAsia="Times New Roman" w:hAnsi="Times New Roman" w:cs="Times New Roman"/>
                <w:sz w:val="24"/>
                <w:szCs w:val="24"/>
                <w:lang w:eastAsia="lv-LV"/>
              </w:rPr>
            </w:pPr>
            <w:r w:rsidRPr="00684A21">
              <w:rPr>
                <w:rFonts w:ascii="Times New Roman" w:eastAsia="Times New Roman" w:hAnsi="Times New Roman" w:cs="Times New Roman"/>
                <w:sz w:val="24"/>
                <w:szCs w:val="24"/>
                <w:lang w:eastAsia="lv-LV"/>
              </w:rPr>
              <w:t>Kredītiestāžu likuma 37.</w:t>
            </w:r>
            <w:r w:rsidR="00982FF1">
              <w:rPr>
                <w:rFonts w:ascii="Times New Roman" w:eastAsia="Times New Roman" w:hAnsi="Times New Roman" w:cs="Times New Roman"/>
                <w:sz w:val="24"/>
                <w:szCs w:val="24"/>
                <w:lang w:eastAsia="lv-LV"/>
              </w:rPr>
              <w:t> </w:t>
            </w:r>
            <w:r w:rsidRPr="00684A21">
              <w:rPr>
                <w:rFonts w:ascii="Times New Roman" w:eastAsia="Times New Roman" w:hAnsi="Times New Roman" w:cs="Times New Roman"/>
                <w:sz w:val="24"/>
                <w:szCs w:val="24"/>
                <w:lang w:eastAsia="lv-LV"/>
              </w:rPr>
              <w:t xml:space="preserve">panta pirmā daļa nosaka prasību kredītiestādei savus aktīvus izvietot tā, lai jebkurā brīdī tiktu nodrošināta tās kreditoru juridiski pamatoto prasību apmierināšana. Tomēr Kredītiestāžu likums nenosaka </w:t>
            </w:r>
            <w:r>
              <w:t>š</w:t>
            </w:r>
            <w:r w:rsidRPr="00684A21">
              <w:rPr>
                <w:rFonts w:ascii="Times New Roman" w:eastAsia="Times New Roman" w:hAnsi="Times New Roman" w:cs="Times New Roman"/>
                <w:sz w:val="24"/>
                <w:szCs w:val="24"/>
                <w:lang w:eastAsia="lv-LV"/>
              </w:rPr>
              <w:t xml:space="preserve">ādu prasību </w:t>
            </w:r>
            <w:r w:rsidR="007A3DBA">
              <w:rPr>
                <w:rFonts w:ascii="Times New Roman" w:eastAsia="Times New Roman" w:hAnsi="Times New Roman" w:cs="Times New Roman"/>
                <w:sz w:val="24"/>
                <w:szCs w:val="24"/>
                <w:lang w:eastAsia="lv-LV"/>
              </w:rPr>
              <w:t xml:space="preserve">izpildes </w:t>
            </w:r>
            <w:r w:rsidRPr="00684A21">
              <w:rPr>
                <w:rFonts w:ascii="Times New Roman" w:eastAsia="Times New Roman" w:hAnsi="Times New Roman" w:cs="Times New Roman"/>
                <w:sz w:val="24"/>
                <w:szCs w:val="24"/>
                <w:lang w:eastAsia="lv-LV"/>
              </w:rPr>
              <w:t>nodrošināšanas kārtību</w:t>
            </w:r>
            <w:r w:rsidR="00025C77">
              <w:rPr>
                <w:rFonts w:ascii="Times New Roman" w:eastAsia="Times New Roman" w:hAnsi="Times New Roman" w:cs="Times New Roman"/>
                <w:sz w:val="24"/>
                <w:szCs w:val="24"/>
                <w:lang w:eastAsia="lv-LV"/>
              </w:rPr>
              <w:t>.</w:t>
            </w:r>
          </w:p>
          <w:p w14:paraId="486E0683" w14:textId="6669B6DA" w:rsidR="00152AF2" w:rsidRDefault="00152AF2" w:rsidP="00677613">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 </w:t>
            </w:r>
            <w:r w:rsidR="007678C9">
              <w:rPr>
                <w:rFonts w:ascii="Times New Roman" w:eastAsia="Times New Roman" w:hAnsi="Times New Roman" w:cs="Times New Roman"/>
                <w:sz w:val="24"/>
                <w:szCs w:val="24"/>
              </w:rPr>
              <w:t>N</w:t>
            </w:r>
            <w:r>
              <w:rPr>
                <w:rFonts w:ascii="Times New Roman" w:eastAsia="Times New Roman" w:hAnsi="Times New Roman" w:cs="Times New Roman"/>
                <w:sz w:val="24"/>
                <w:szCs w:val="24"/>
              </w:rPr>
              <w:t>oteikumu projektā paredzētajām prasībām</w:t>
            </w:r>
            <w:r w:rsidRPr="00B842B5">
              <w:rPr>
                <w:rFonts w:ascii="Times New Roman" w:eastAsia="Times New Roman" w:hAnsi="Times New Roman" w:cs="Times New Roman"/>
                <w:sz w:val="24"/>
                <w:szCs w:val="24"/>
              </w:rPr>
              <w:t xml:space="preserve"> tiek nodrošināta vienota finanšu tirgus dalībnieku izpratne un pieeja regulējošo prasību interpretācijai un piemērošanai.</w:t>
            </w:r>
          </w:p>
          <w:p w14:paraId="6E17030F" w14:textId="664523BC" w:rsidR="004B6B6B" w:rsidRPr="00B842B5" w:rsidRDefault="004B6B6B" w:rsidP="00677613">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 kredītiestādes neīstenotu atbilstošu likviditātes riska pārvaldīšanu</w:t>
            </w:r>
            <w:r w:rsidR="007A3DBA">
              <w:rPr>
                <w:rFonts w:ascii="Times New Roman" w:eastAsia="Times New Roman" w:hAnsi="Times New Roman" w:cs="Times New Roman"/>
                <w:sz w:val="24"/>
                <w:szCs w:val="24"/>
              </w:rPr>
              <w:t xml:space="preserve"> un</w:t>
            </w:r>
            <w:r w:rsidR="00C963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likviditātes pietiekamības novērtēšanas procesu un nesniegtu informāciju par to atbilstoši normatīvo aktu prasībām, </w:t>
            </w:r>
            <w:r w:rsidR="00730BAB">
              <w:rPr>
                <w:rFonts w:ascii="Times New Roman" w:eastAsia="Times New Roman" w:hAnsi="Times New Roman" w:cs="Times New Roman"/>
                <w:sz w:val="24"/>
                <w:szCs w:val="24"/>
              </w:rPr>
              <w:t xml:space="preserve">kredītiestādes </w:t>
            </w:r>
            <w:r w:rsidR="008E233B">
              <w:rPr>
                <w:rFonts w:ascii="Times New Roman" w:eastAsia="Times New Roman" w:hAnsi="Times New Roman" w:cs="Times New Roman"/>
                <w:sz w:val="24"/>
                <w:szCs w:val="24"/>
              </w:rPr>
              <w:t xml:space="preserve">varētu nepilnīgi novērtēt tām piemītošo un varbūtējo likviditātes risku, kā arī </w:t>
            </w:r>
            <w:r>
              <w:rPr>
                <w:rFonts w:ascii="Times New Roman" w:eastAsia="Times New Roman" w:hAnsi="Times New Roman" w:cs="Times New Roman"/>
                <w:sz w:val="24"/>
                <w:szCs w:val="24"/>
              </w:rPr>
              <w:t xml:space="preserve">kredītiestāžu </w:t>
            </w:r>
            <w:r w:rsidR="00730BAB">
              <w:rPr>
                <w:rFonts w:ascii="Times New Roman" w:eastAsia="Times New Roman" w:hAnsi="Times New Roman" w:cs="Times New Roman"/>
                <w:sz w:val="24"/>
                <w:szCs w:val="24"/>
              </w:rPr>
              <w:t xml:space="preserve">likviditātes rezerves </w:t>
            </w:r>
            <w:r>
              <w:rPr>
                <w:rFonts w:ascii="Times New Roman" w:eastAsia="Times New Roman" w:hAnsi="Times New Roman" w:cs="Times New Roman"/>
                <w:sz w:val="24"/>
                <w:szCs w:val="24"/>
              </w:rPr>
              <w:t xml:space="preserve">apmēra pietiekamība varētu tikt </w:t>
            </w:r>
            <w:r w:rsidR="007A3DBA">
              <w:rPr>
                <w:rFonts w:ascii="Times New Roman" w:eastAsia="Times New Roman" w:hAnsi="Times New Roman" w:cs="Times New Roman"/>
                <w:sz w:val="24"/>
                <w:szCs w:val="24"/>
              </w:rPr>
              <w:t xml:space="preserve">novērtēta </w:t>
            </w:r>
            <w:r>
              <w:rPr>
                <w:rFonts w:ascii="Times New Roman" w:eastAsia="Times New Roman" w:hAnsi="Times New Roman" w:cs="Times New Roman"/>
                <w:sz w:val="24"/>
                <w:szCs w:val="24"/>
              </w:rPr>
              <w:t>neatbilstoši.</w:t>
            </w:r>
            <w:r>
              <w:t xml:space="preserve"> </w:t>
            </w:r>
            <w:r w:rsidRPr="00B842B5">
              <w:rPr>
                <w:rFonts w:ascii="Times New Roman" w:eastAsia="Times New Roman" w:hAnsi="Times New Roman" w:cs="Times New Roman"/>
                <w:sz w:val="24"/>
                <w:szCs w:val="24"/>
              </w:rPr>
              <w:t>Lai nodrošinātu finanšu tirgus stabilitāti, ir būtiski pēc iespējas mazināt un novērst minēto risku.</w:t>
            </w:r>
          </w:p>
          <w:p w14:paraId="47C61E39" w14:textId="1F95050E" w:rsidR="00556358" w:rsidRDefault="007A6661" w:rsidP="00677613">
            <w:pPr>
              <w:spacing w:after="120" w:line="240" w:lineRule="auto"/>
              <w:jc w:val="both"/>
              <w:rPr>
                <w:rFonts w:ascii="Times New Roman" w:eastAsia="Times New Roman" w:hAnsi="Times New Roman" w:cs="Times New Roman"/>
                <w:sz w:val="24"/>
                <w:szCs w:val="24"/>
                <w:lang w:eastAsia="lv-LV"/>
              </w:rPr>
            </w:pPr>
            <w:r w:rsidRPr="00147EEA">
              <w:rPr>
                <w:rFonts w:ascii="Times New Roman" w:eastAsia="Times New Roman" w:hAnsi="Times New Roman" w:cs="Times New Roman"/>
                <w:sz w:val="24"/>
                <w:szCs w:val="24"/>
              </w:rPr>
              <w:t>At</w:t>
            </w:r>
            <w:r w:rsidRPr="00B842B5">
              <w:rPr>
                <w:rFonts w:ascii="Times New Roman" w:eastAsia="Times New Roman" w:hAnsi="Times New Roman" w:cs="Times New Roman"/>
                <w:sz w:val="24"/>
                <w:szCs w:val="24"/>
              </w:rPr>
              <w:t xml:space="preserve">bilstošākais veids, kā noteikt </w:t>
            </w:r>
            <w:r>
              <w:rPr>
                <w:rFonts w:ascii="Times New Roman" w:eastAsia="Times New Roman" w:hAnsi="Times New Roman" w:cs="Times New Roman"/>
                <w:sz w:val="24"/>
                <w:szCs w:val="24"/>
              </w:rPr>
              <w:t>vienotas prasības,</w:t>
            </w:r>
            <w:r w:rsidRPr="00B842B5">
              <w:rPr>
                <w:rFonts w:ascii="Times New Roman" w:eastAsia="Times New Roman" w:hAnsi="Times New Roman" w:cs="Times New Roman"/>
                <w:sz w:val="24"/>
                <w:szCs w:val="24"/>
              </w:rPr>
              <w:t xml:space="preserve"> ir izdot finanšu tirgus dalībniekiem</w:t>
            </w:r>
            <w:r w:rsidRPr="00147EEA">
              <w:rPr>
                <w:rFonts w:ascii="Times New Roman" w:eastAsia="Times New Roman" w:hAnsi="Times New Roman" w:cs="Times New Roman"/>
                <w:sz w:val="24"/>
                <w:szCs w:val="24"/>
              </w:rPr>
              <w:t> </w:t>
            </w:r>
            <w:r w:rsidRPr="00B842B5">
              <w:rPr>
                <w:rFonts w:ascii="Times New Roman" w:eastAsia="Times New Roman" w:hAnsi="Times New Roman" w:cs="Times New Roman"/>
                <w:sz w:val="24"/>
                <w:szCs w:val="24"/>
              </w:rPr>
              <w:t>– kredītiestādēm </w:t>
            </w:r>
            <w:r w:rsidRPr="00B842B5">
              <w:rPr>
                <w:rFonts w:ascii="Times New Roman" w:hAnsi="Times New Roman" w:cs="Times New Roman"/>
                <w:sz w:val="24"/>
                <w:szCs w:val="24"/>
              </w:rPr>
              <w:t>–</w:t>
            </w:r>
            <w:r w:rsidRPr="00B842B5">
              <w:rPr>
                <w:rFonts w:ascii="Times New Roman" w:eastAsia="Times New Roman" w:hAnsi="Times New Roman" w:cs="Times New Roman"/>
                <w:sz w:val="24"/>
                <w:szCs w:val="24"/>
              </w:rPr>
              <w:t xml:space="preserve"> saistošus noteikumus. </w:t>
            </w:r>
            <w:r w:rsidR="009C52B4" w:rsidRPr="00147EEA">
              <w:rPr>
                <w:rFonts w:ascii="Times New Roman" w:eastAsia="Times New Roman" w:hAnsi="Times New Roman" w:cs="Times New Roman"/>
                <w:sz w:val="24"/>
                <w:szCs w:val="24"/>
              </w:rPr>
              <w:t xml:space="preserve">Citas alternatīvas jautājuma noregulēšanai un vienotu prasību noteikšanai nebūtu efektīvas un nesasniegtu izvirzīto mērķi, jo nenodrošinātu vienveidīgu, vienotu un precīzu regulējošo prasību piemērošanu, kas </w:t>
            </w:r>
            <w:r w:rsidR="009C52B4" w:rsidRPr="00147EEA">
              <w:rPr>
                <w:rFonts w:ascii="Times New Roman" w:eastAsia="Times New Roman" w:hAnsi="Times New Roman" w:cs="Times New Roman"/>
                <w:sz w:val="24"/>
                <w:szCs w:val="24"/>
              </w:rPr>
              <w:lastRenderedPageBreak/>
              <w:t>savukārt atstātu negatīvu ietekmi uz finanšu tirgus stabilitāti un finanšu tirgus dalībnieku darbības kvalitāti.</w:t>
            </w:r>
          </w:p>
          <w:p w14:paraId="62B46D32" w14:textId="0578C7C8" w:rsidR="00F33A1D" w:rsidRDefault="00F33A1D" w:rsidP="00677613">
            <w:pPr>
              <w:spacing w:after="120" w:line="240" w:lineRule="auto"/>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Izraugoties piemērotāko līdzekli leģitīmā mērķa sasniegšanai, Latvijas Banka izvērtēja, ka nebūtu atbilstoši izdot, piemēram, zemāka ranga normatīvos aktus, kuri nebūtu finanšu tirgus dalībniekam juridiski saistoši (ieteikumi), īpaši ņemot vērā tirgus izkropļojuma un regulējuma arbitrāžas risku.</w:t>
            </w:r>
          </w:p>
          <w:p w14:paraId="5127D962" w14:textId="28EAAF3C" w:rsidR="008A2EC8" w:rsidRDefault="008A2EC8" w:rsidP="00677613">
            <w:pPr>
              <w:spacing w:after="120" w:line="240" w:lineRule="auto"/>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 xml:space="preserve">Vienlaikus ar </w:t>
            </w:r>
            <w:r>
              <w:rPr>
                <w:rFonts w:ascii="Times New Roman" w:eastAsia="Times New Roman" w:hAnsi="Times New Roman" w:cs="Times New Roman"/>
                <w:sz w:val="24"/>
                <w:szCs w:val="24"/>
              </w:rPr>
              <w:t>N</w:t>
            </w:r>
            <w:r w:rsidRPr="00396DD5">
              <w:rPr>
                <w:rFonts w:ascii="Times New Roman" w:eastAsia="Times New Roman" w:hAnsi="Times New Roman" w:cs="Times New Roman"/>
                <w:sz w:val="24"/>
                <w:szCs w:val="24"/>
              </w:rPr>
              <w:t xml:space="preserve">oteikumu projektu tiek noteiktas prasības, kuras Latvijas Banka uzraudzības ietvaros var kontrolēt un nepieciešamības gadījumā par konkrētu prasību pārkāpumu piemērot </w:t>
            </w:r>
            <w:r w:rsidRPr="001D3C3F">
              <w:rPr>
                <w:rFonts w:ascii="Times New Roman" w:eastAsia="Times New Roman" w:hAnsi="Times New Roman" w:cs="Times New Roman"/>
                <w:sz w:val="24"/>
                <w:szCs w:val="24"/>
              </w:rPr>
              <w:t>finanšu tirgus dalībniekam</w:t>
            </w:r>
            <w:r w:rsidRPr="00396DD5">
              <w:rPr>
                <w:rFonts w:ascii="Times New Roman" w:eastAsia="Times New Roman" w:hAnsi="Times New Roman" w:cs="Times New Roman"/>
                <w:sz w:val="24"/>
                <w:szCs w:val="24"/>
              </w:rPr>
              <w:t xml:space="preserve"> korektīvos pasākumus vai sankcijas.</w:t>
            </w:r>
          </w:p>
          <w:p w14:paraId="4F28E93A" w14:textId="3C6FA0D4" w:rsidR="00E53DE9" w:rsidRDefault="008A2EC8" w:rsidP="00CC7E25">
            <w:pPr>
              <w:spacing w:after="120" w:line="240" w:lineRule="auto"/>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 xml:space="preserve">Samērojot papildu slogu un resursus, kas tirgus dalībniekiem – </w:t>
            </w:r>
            <w:r>
              <w:rPr>
                <w:rFonts w:ascii="Times New Roman" w:eastAsia="Times New Roman" w:hAnsi="Times New Roman" w:cs="Times New Roman"/>
                <w:sz w:val="24"/>
                <w:szCs w:val="24"/>
              </w:rPr>
              <w:t>kredītiestādēm</w:t>
            </w:r>
            <w:r w:rsidRPr="00396DD5">
              <w:rPr>
                <w:rFonts w:ascii="Times New Roman" w:eastAsia="Times New Roman" w:hAnsi="Times New Roman" w:cs="Times New Roman"/>
                <w:sz w:val="24"/>
                <w:szCs w:val="24"/>
              </w:rPr>
              <w:t xml:space="preserve"> – būs jāiegulda Latvijas Bankas noteikto prasību ievērošanā, ar sabiedrības ieguvumu, jāsecina, ka sabiedrības interesēm piešķirama prioritāte un tās ieguvums būs lielāks par papildu resursu ieguldījumu, kas konkrētajam tirgus dalībniekam varētu rasties ar uzliktajiem pienākumiem, un to atsver sagaidāmie ilgtermiņa ieguvumi </w:t>
            </w:r>
            <w:r w:rsidR="007A3DBA">
              <w:rPr>
                <w:rFonts w:ascii="Times New Roman" w:eastAsia="Times New Roman" w:hAnsi="Times New Roman" w:cs="Times New Roman"/>
                <w:sz w:val="24"/>
                <w:szCs w:val="24"/>
              </w:rPr>
              <w:t xml:space="preserve">harmonizētākas </w:t>
            </w:r>
            <w:r>
              <w:rPr>
                <w:rFonts w:ascii="Times New Roman" w:eastAsia="Times New Roman" w:hAnsi="Times New Roman" w:cs="Times New Roman"/>
                <w:sz w:val="24"/>
                <w:szCs w:val="24"/>
              </w:rPr>
              <w:t xml:space="preserve">kredītiestāžu </w:t>
            </w:r>
            <w:r w:rsidR="008C720F">
              <w:rPr>
                <w:rFonts w:ascii="Times New Roman" w:eastAsia="Times New Roman" w:hAnsi="Times New Roman" w:cs="Times New Roman"/>
                <w:sz w:val="24"/>
                <w:szCs w:val="24"/>
              </w:rPr>
              <w:t>likviditātes riska pārvaldīšan</w:t>
            </w:r>
            <w:r w:rsidR="007A3DBA">
              <w:rPr>
                <w:rFonts w:ascii="Times New Roman" w:eastAsia="Times New Roman" w:hAnsi="Times New Roman" w:cs="Times New Roman"/>
                <w:sz w:val="24"/>
                <w:szCs w:val="24"/>
              </w:rPr>
              <w:t>as</w:t>
            </w:r>
            <w:r w:rsidR="008C72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augstāka likviditātes </w:t>
            </w:r>
            <w:r w:rsidR="008C720F">
              <w:rPr>
                <w:rFonts w:ascii="Times New Roman" w:eastAsia="Times New Roman" w:hAnsi="Times New Roman" w:cs="Times New Roman"/>
                <w:sz w:val="24"/>
                <w:szCs w:val="24"/>
              </w:rPr>
              <w:t>rezerves apmēra</w:t>
            </w:r>
            <w:r>
              <w:rPr>
                <w:rFonts w:ascii="Times New Roman" w:eastAsia="Times New Roman" w:hAnsi="Times New Roman" w:cs="Times New Roman"/>
                <w:sz w:val="24"/>
                <w:szCs w:val="24"/>
              </w:rPr>
              <w:t xml:space="preserve"> uzturēšanas un tādējādi </w:t>
            </w:r>
            <w:r w:rsidRPr="00396DD5">
              <w:rPr>
                <w:rFonts w:ascii="Times New Roman" w:eastAsia="Times New Roman" w:hAnsi="Times New Roman" w:cs="Times New Roman"/>
                <w:sz w:val="24"/>
                <w:szCs w:val="24"/>
              </w:rPr>
              <w:t>stabilāka finanšu sektora veidā, kas savukārt stiprinās ieguldītāju tiesisko interešu aizsardzību.</w:t>
            </w:r>
          </w:p>
          <w:p w14:paraId="1CFBB1BB" w14:textId="2179C214" w:rsidR="00025C77" w:rsidRPr="00AB107B" w:rsidRDefault="007A3DBA" w:rsidP="00CC7E2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Līdz ar to</w:t>
            </w:r>
            <w:r w:rsidR="00025C77">
              <w:rPr>
                <w:rFonts w:ascii="Times New Roman" w:eastAsia="Times New Roman" w:hAnsi="Times New Roman" w:cs="Times New Roman"/>
                <w:sz w:val="24"/>
                <w:szCs w:val="24"/>
                <w:lang w:eastAsia="lv-LV"/>
              </w:rPr>
              <w:t xml:space="preserve"> secināms, ka Noteikumu projektā paredzētās prasības atbilst samērīguma principam, jo</w:t>
            </w:r>
            <w:r>
              <w:rPr>
                <w:rFonts w:ascii="Times New Roman" w:eastAsia="Times New Roman" w:hAnsi="Times New Roman" w:cs="Times New Roman"/>
                <w:sz w:val="24"/>
                <w:szCs w:val="24"/>
                <w:lang w:eastAsia="lv-LV"/>
              </w:rPr>
              <w:t>,</w:t>
            </w:r>
            <w:r w:rsidR="00025C77">
              <w:rPr>
                <w:rFonts w:ascii="Times New Roman" w:eastAsia="Times New Roman" w:hAnsi="Times New Roman" w:cs="Times New Roman"/>
                <w:sz w:val="24"/>
                <w:szCs w:val="24"/>
                <w:lang w:eastAsia="lv-LV"/>
              </w:rPr>
              <w:t xml:space="preserve"> </w:t>
            </w:r>
            <w:r w:rsidR="00025C77" w:rsidRPr="00025C77">
              <w:rPr>
                <w:rFonts w:ascii="Times New Roman" w:eastAsia="Times New Roman" w:hAnsi="Times New Roman" w:cs="Times New Roman"/>
                <w:sz w:val="24"/>
                <w:szCs w:val="24"/>
                <w:lang w:eastAsia="lv-LV"/>
              </w:rPr>
              <w:t xml:space="preserve">pirmkārt, ar </w:t>
            </w:r>
            <w:r w:rsidR="00025C77">
              <w:rPr>
                <w:rFonts w:ascii="Times New Roman" w:eastAsia="Times New Roman" w:hAnsi="Times New Roman" w:cs="Times New Roman"/>
                <w:sz w:val="24"/>
                <w:szCs w:val="24"/>
                <w:lang w:eastAsia="lv-LV"/>
              </w:rPr>
              <w:t xml:space="preserve">Noteikumu </w:t>
            </w:r>
            <w:r w:rsidR="00025C77" w:rsidRPr="00025C77">
              <w:rPr>
                <w:rFonts w:ascii="Times New Roman" w:eastAsia="Times New Roman" w:hAnsi="Times New Roman" w:cs="Times New Roman"/>
                <w:sz w:val="24"/>
                <w:szCs w:val="24"/>
                <w:lang w:eastAsia="lv-LV"/>
              </w:rPr>
              <w:t>projektu un tajā ietvertajām prasībām tiek sasniegts leģitīmais mērķis (citu personu tiesību un sabiedrības labklājības aizsardzība)</w:t>
            </w:r>
            <w:r w:rsidR="00025C77">
              <w:rPr>
                <w:rFonts w:ascii="Times New Roman" w:eastAsia="Times New Roman" w:hAnsi="Times New Roman" w:cs="Times New Roman"/>
                <w:sz w:val="24"/>
                <w:szCs w:val="24"/>
                <w:lang w:eastAsia="lv-LV"/>
              </w:rPr>
              <w:t>. O</w:t>
            </w:r>
            <w:r w:rsidR="00025C77" w:rsidRPr="00025C77">
              <w:rPr>
                <w:rFonts w:ascii="Times New Roman" w:eastAsia="Times New Roman" w:hAnsi="Times New Roman" w:cs="Times New Roman"/>
                <w:sz w:val="24"/>
                <w:szCs w:val="24"/>
                <w:lang w:eastAsia="lv-LV"/>
              </w:rPr>
              <w:t>trkārt, nepastāv tādi alternatīvi līdzekļi, kas sasniegtu leģitīmo mērķi tādā pašā kvalitātē</w:t>
            </w:r>
            <w:r w:rsidR="00025C77">
              <w:rPr>
                <w:rFonts w:ascii="Times New Roman" w:eastAsia="Times New Roman" w:hAnsi="Times New Roman" w:cs="Times New Roman"/>
                <w:sz w:val="24"/>
                <w:szCs w:val="24"/>
                <w:lang w:eastAsia="lv-LV"/>
              </w:rPr>
              <w:t>. T</w:t>
            </w:r>
            <w:r w:rsidR="00025C77" w:rsidRPr="00025C77">
              <w:rPr>
                <w:rFonts w:ascii="Times New Roman" w:eastAsia="Times New Roman" w:hAnsi="Times New Roman" w:cs="Times New Roman"/>
                <w:sz w:val="24"/>
                <w:szCs w:val="24"/>
                <w:lang w:eastAsia="lv-LV"/>
              </w:rPr>
              <w:t>reškārt</w:t>
            </w:r>
            <w:r>
              <w:rPr>
                <w:rFonts w:ascii="Times New Roman" w:eastAsia="Times New Roman" w:hAnsi="Times New Roman" w:cs="Times New Roman"/>
                <w:sz w:val="24"/>
                <w:szCs w:val="24"/>
                <w:lang w:eastAsia="lv-LV"/>
              </w:rPr>
              <w:t>,</w:t>
            </w:r>
            <w:r w:rsidR="00025C77" w:rsidRPr="00025C77">
              <w:rPr>
                <w:rFonts w:ascii="Times New Roman" w:eastAsia="Times New Roman" w:hAnsi="Times New Roman" w:cs="Times New Roman"/>
                <w:sz w:val="24"/>
                <w:szCs w:val="24"/>
                <w:lang w:eastAsia="lv-LV"/>
              </w:rPr>
              <w:t xml:space="preserve"> labums, ko iegūs sabiedrība, būs lielāks par </w:t>
            </w:r>
            <w:r w:rsidR="00025C77">
              <w:rPr>
                <w:rFonts w:ascii="Times New Roman" w:eastAsia="Times New Roman" w:hAnsi="Times New Roman" w:cs="Times New Roman"/>
                <w:sz w:val="24"/>
                <w:szCs w:val="24"/>
                <w:lang w:eastAsia="lv-LV"/>
              </w:rPr>
              <w:t xml:space="preserve">Noteikumu </w:t>
            </w:r>
            <w:r w:rsidR="00025C77" w:rsidRPr="00025C77">
              <w:rPr>
                <w:rFonts w:ascii="Times New Roman" w:eastAsia="Times New Roman" w:hAnsi="Times New Roman" w:cs="Times New Roman"/>
                <w:sz w:val="24"/>
                <w:szCs w:val="24"/>
                <w:lang w:eastAsia="lv-LV"/>
              </w:rPr>
              <w:t>projektā ietverto prasību radītajām negatīvajām sekām.</w:t>
            </w:r>
          </w:p>
        </w:tc>
      </w:tr>
      <w:tr w:rsidR="000B4E0A" w:rsidRPr="000B4E0A" w14:paraId="10C66D6E" w14:textId="77777777" w:rsidTr="00A00DBA">
        <w:trPr>
          <w:trHeight w:val="567"/>
        </w:trPr>
        <w:tc>
          <w:tcPr>
            <w:tcW w:w="1248" w:type="pct"/>
            <w:shd w:val="clear" w:color="auto" w:fill="auto"/>
            <w:hideMark/>
          </w:tcPr>
          <w:p w14:paraId="4D18CD6C" w14:textId="3747FE22"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tc>
        <w:tc>
          <w:tcPr>
            <w:tcW w:w="3752" w:type="pct"/>
            <w:shd w:val="clear" w:color="auto" w:fill="auto"/>
          </w:tcPr>
          <w:p w14:paraId="4B8D8F7C" w14:textId="0E520E82" w:rsidR="00CA28AB" w:rsidRPr="00AB107B" w:rsidRDefault="00F20736" w:rsidP="002D54F5">
            <w:pPr>
              <w:spacing w:after="120" w:line="240" w:lineRule="auto"/>
              <w:jc w:val="both"/>
              <w:rPr>
                <w:rFonts w:ascii="Times New Roman" w:eastAsia="Times New Roman" w:hAnsi="Times New Roman" w:cs="Times New Roman"/>
                <w:sz w:val="24"/>
                <w:szCs w:val="24"/>
                <w:lang w:eastAsia="lv-LV"/>
              </w:rPr>
            </w:pPr>
            <w:r w:rsidRPr="00982FF1">
              <w:rPr>
                <w:rFonts w:ascii="Times New Roman" w:hAnsi="Times New Roman" w:cs="Times New Roman"/>
                <w:sz w:val="24"/>
                <w:szCs w:val="24"/>
              </w:rPr>
              <w:t xml:space="preserve">Nākamajā dienā pēc publicēšanas oficiālajā izdevumā "Latvijas </w:t>
            </w:r>
            <w:r w:rsidR="00982FF1">
              <w:rPr>
                <w:rFonts w:ascii="Times New Roman" w:hAnsi="Times New Roman" w:cs="Times New Roman"/>
                <w:sz w:val="24"/>
                <w:szCs w:val="24"/>
              </w:rPr>
              <w:t>V</w:t>
            </w:r>
            <w:r w:rsidRPr="00982FF1">
              <w:rPr>
                <w:rFonts w:ascii="Times New Roman" w:hAnsi="Times New Roman" w:cs="Times New Roman"/>
                <w:sz w:val="24"/>
                <w:szCs w:val="24"/>
              </w:rPr>
              <w:t>ēstnesis".</w:t>
            </w:r>
          </w:p>
        </w:tc>
      </w:tr>
      <w:tr w:rsidR="000B4E0A" w:rsidRPr="000B4E0A" w14:paraId="164E1CDA" w14:textId="77777777" w:rsidTr="00A00DBA">
        <w:trPr>
          <w:trHeight w:val="567"/>
        </w:trPr>
        <w:tc>
          <w:tcPr>
            <w:tcW w:w="1248" w:type="pct"/>
            <w:shd w:val="clear" w:color="auto" w:fill="auto"/>
            <w:hideMark/>
          </w:tcPr>
          <w:p w14:paraId="4594B244" w14:textId="18ECA73C"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752" w:type="pct"/>
            <w:shd w:val="clear" w:color="auto" w:fill="auto"/>
          </w:tcPr>
          <w:p w14:paraId="7487BC42" w14:textId="4E514C37" w:rsidR="00E53DE9" w:rsidRPr="00AB107B" w:rsidRDefault="00CF1C02" w:rsidP="002D54F5">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Noteikumu projekts</w:t>
            </w:r>
            <w:r w:rsidR="00F20736" w:rsidRPr="00962FA0">
              <w:rPr>
                <w:rFonts w:ascii="Times New Roman" w:hAnsi="Times New Roman" w:cs="Times New Roman"/>
                <w:sz w:val="24"/>
                <w:szCs w:val="24"/>
              </w:rPr>
              <w:t xml:space="preserve"> nerada ietekmi uz Latvijas Bankas budžetu.</w:t>
            </w:r>
          </w:p>
        </w:tc>
      </w:tr>
      <w:tr w:rsidR="000B4E0A" w:rsidRPr="000B4E0A" w14:paraId="0D7F6942" w14:textId="77777777" w:rsidTr="00A00DBA">
        <w:trPr>
          <w:trHeight w:val="567"/>
        </w:trPr>
        <w:tc>
          <w:tcPr>
            <w:tcW w:w="1248" w:type="pct"/>
            <w:shd w:val="clear" w:color="auto" w:fill="auto"/>
            <w:hideMark/>
          </w:tcPr>
          <w:p w14:paraId="4DB587D3" w14:textId="77777777" w:rsidR="00A42788" w:rsidRPr="00A26017" w:rsidRDefault="00A42788" w:rsidP="000B4E0A">
            <w:pPr>
              <w:spacing w:after="0" w:line="240" w:lineRule="auto"/>
              <w:rPr>
                <w:rFonts w:ascii="Times New Roman" w:eastAsia="Times New Roman" w:hAnsi="Times New Roman" w:cs="Times New Roman"/>
                <w:b/>
                <w:bCs/>
                <w:sz w:val="24"/>
                <w:szCs w:val="24"/>
                <w:lang w:eastAsia="lv-LV"/>
              </w:rPr>
            </w:pPr>
            <w:r w:rsidRPr="00A26017">
              <w:rPr>
                <w:rFonts w:ascii="Times New Roman" w:eastAsia="Times New Roman" w:hAnsi="Times New Roman" w:cs="Times New Roman"/>
                <w:b/>
                <w:bCs/>
                <w:sz w:val="24"/>
                <w:szCs w:val="24"/>
                <w:lang w:eastAsia="lv-LV"/>
              </w:rPr>
              <w:t xml:space="preserve">Administratīvā sloga un izmaksu novērtējums </w:t>
            </w:r>
            <w:r w:rsidR="00C85C34" w:rsidRPr="00A26017">
              <w:rPr>
                <w:rFonts w:ascii="Times New Roman" w:eastAsia="Times New Roman" w:hAnsi="Times New Roman" w:cs="Times New Roman"/>
                <w:b/>
                <w:bCs/>
                <w:sz w:val="24"/>
                <w:szCs w:val="24"/>
                <w:lang w:eastAsia="lv-LV"/>
              </w:rPr>
              <w:t>(</w:t>
            </w:r>
            <w:r w:rsidRPr="00A26017">
              <w:rPr>
                <w:rFonts w:ascii="Times New Roman" w:eastAsia="Times New Roman" w:hAnsi="Times New Roman" w:cs="Times New Roman"/>
                <w:b/>
                <w:bCs/>
                <w:sz w:val="24"/>
                <w:szCs w:val="24"/>
                <w:lang w:eastAsia="lv-LV"/>
              </w:rPr>
              <w:t>tirgus dalībniekiem</w:t>
            </w:r>
            <w:r w:rsidR="00C85C34" w:rsidRPr="00A26017">
              <w:rPr>
                <w:rFonts w:ascii="Times New Roman" w:eastAsia="Times New Roman" w:hAnsi="Times New Roman" w:cs="Times New Roman"/>
                <w:b/>
                <w:bCs/>
                <w:sz w:val="24"/>
                <w:szCs w:val="24"/>
                <w:lang w:eastAsia="lv-LV"/>
              </w:rPr>
              <w:t>)</w:t>
            </w:r>
          </w:p>
          <w:p w14:paraId="48287F12" w14:textId="77777777" w:rsidR="00CA28AB" w:rsidRPr="00A26017"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58DDE76" w14:textId="694626BC" w:rsidR="00AE4DA0" w:rsidRPr="006C4C15" w:rsidRDefault="00AE4DA0" w:rsidP="00677613">
            <w:pPr>
              <w:spacing w:after="120"/>
              <w:jc w:val="both"/>
              <w:rPr>
                <w:rFonts w:ascii="Times New Roman" w:hAnsi="Times New Roman" w:cs="Times New Roman"/>
                <w:sz w:val="24"/>
                <w:szCs w:val="24"/>
                <w:lang w:eastAsia="lv-LV"/>
              </w:rPr>
            </w:pPr>
            <w:r w:rsidRPr="006C4C15">
              <w:rPr>
                <w:rFonts w:ascii="Times New Roman" w:hAnsi="Times New Roman" w:cs="Times New Roman"/>
                <w:sz w:val="24"/>
                <w:szCs w:val="24"/>
                <w:lang w:eastAsia="lv-LV"/>
              </w:rPr>
              <w:t>Noteikumu projektā ietvertās jaunās prasības (minētas anotācijas sadaļā "Mērķis un būtība"), kas nav ietvertas pašlaik spēkā esošajos</w:t>
            </w:r>
            <w:r>
              <w:rPr>
                <w:rFonts w:ascii="Times New Roman" w:hAnsi="Times New Roman" w:cs="Times New Roman"/>
                <w:sz w:val="24"/>
                <w:szCs w:val="24"/>
                <w:lang w:eastAsia="lv-LV"/>
              </w:rPr>
              <w:t xml:space="preserve"> Noteikumos Nr. 21</w:t>
            </w:r>
            <w:r w:rsidR="00007438">
              <w:rPr>
                <w:rFonts w:ascii="Times New Roman" w:hAnsi="Times New Roman" w:cs="Times New Roman"/>
                <w:sz w:val="24"/>
                <w:szCs w:val="24"/>
                <w:lang w:eastAsia="lv-LV"/>
              </w:rPr>
              <w:t>8 un</w:t>
            </w:r>
            <w:r w:rsidRPr="006C4C1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N</w:t>
            </w:r>
            <w:r w:rsidRPr="006C4C15">
              <w:rPr>
                <w:rFonts w:ascii="Times New Roman" w:hAnsi="Times New Roman" w:cs="Times New Roman"/>
                <w:sz w:val="24"/>
                <w:szCs w:val="24"/>
                <w:lang w:eastAsia="lv-LV"/>
              </w:rPr>
              <w:t>oteikumos Nr.</w:t>
            </w:r>
            <w:r>
              <w:rPr>
                <w:rFonts w:ascii="Times New Roman" w:hAnsi="Times New Roman" w:cs="Times New Roman"/>
                <w:sz w:val="24"/>
                <w:szCs w:val="24"/>
                <w:lang w:eastAsia="lv-LV"/>
              </w:rPr>
              <w:t> </w:t>
            </w:r>
            <w:r w:rsidRPr="006C4C15">
              <w:rPr>
                <w:rFonts w:ascii="Times New Roman" w:hAnsi="Times New Roman" w:cs="Times New Roman"/>
                <w:sz w:val="24"/>
                <w:szCs w:val="24"/>
                <w:lang w:eastAsia="lv-LV"/>
              </w:rPr>
              <w:t xml:space="preserve">209, radīs papildu </w:t>
            </w:r>
            <w:r w:rsidRPr="007B06D0">
              <w:rPr>
                <w:rFonts w:ascii="Times New Roman" w:hAnsi="Times New Roman" w:cs="Times New Roman"/>
                <w:sz w:val="24"/>
                <w:szCs w:val="24"/>
                <w:lang w:eastAsia="lv-LV"/>
              </w:rPr>
              <w:t>administratīvo slogu</w:t>
            </w:r>
            <w:r w:rsidRPr="006C4C1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un izmaksas finanšu </w:t>
            </w:r>
            <w:r w:rsidRPr="006C4C15">
              <w:rPr>
                <w:rFonts w:ascii="Times New Roman" w:hAnsi="Times New Roman" w:cs="Times New Roman"/>
                <w:sz w:val="24"/>
                <w:szCs w:val="24"/>
                <w:lang w:eastAsia="lv-LV"/>
              </w:rPr>
              <w:t xml:space="preserve">tirgus dalībniekiem, </w:t>
            </w:r>
            <w:r w:rsidRPr="009A6E24">
              <w:rPr>
                <w:rFonts w:ascii="Times New Roman" w:hAnsi="Times New Roman" w:cs="Times New Roman"/>
                <w:sz w:val="24"/>
                <w:szCs w:val="24"/>
                <w:lang w:eastAsia="lv-LV"/>
              </w:rPr>
              <w:t>uz kuriem tās ir attiecināmas</w:t>
            </w:r>
            <w:r w:rsidRPr="006C4C15">
              <w:rPr>
                <w:rFonts w:ascii="Times New Roman" w:hAnsi="Times New Roman" w:cs="Times New Roman"/>
                <w:sz w:val="24"/>
                <w:szCs w:val="24"/>
                <w:lang w:eastAsia="lv-LV"/>
              </w:rPr>
              <w:t>.</w:t>
            </w:r>
          </w:p>
          <w:p w14:paraId="549FB213" w14:textId="5E67695B" w:rsidR="00A42788" w:rsidRPr="00F20736" w:rsidRDefault="00AE4DA0" w:rsidP="00CC7E25">
            <w:pPr>
              <w:spacing w:after="120" w:line="240" w:lineRule="auto"/>
              <w:jc w:val="both"/>
              <w:rPr>
                <w:rFonts w:ascii="Times New Roman" w:eastAsia="Times New Roman" w:hAnsi="Times New Roman" w:cs="Times New Roman"/>
                <w:sz w:val="24"/>
                <w:szCs w:val="24"/>
                <w:highlight w:val="yellow"/>
                <w:lang w:eastAsia="lv-LV"/>
              </w:rPr>
            </w:pPr>
            <w:r>
              <w:rPr>
                <w:rFonts w:ascii="Times New Roman" w:hAnsi="Times New Roman" w:cs="Times New Roman"/>
                <w:sz w:val="24"/>
                <w:szCs w:val="24"/>
                <w:lang w:eastAsia="lv-LV"/>
              </w:rPr>
              <w:t xml:space="preserve">Administratīvais slogs un </w:t>
            </w:r>
            <w:r w:rsidRPr="0035623D">
              <w:rPr>
                <w:rFonts w:ascii="Times New Roman" w:hAnsi="Times New Roman" w:cs="Times New Roman"/>
                <w:sz w:val="24"/>
                <w:szCs w:val="24"/>
                <w:lang w:eastAsia="lv-LV"/>
              </w:rPr>
              <w:t xml:space="preserve">izmaksas precīzi nav aprēķināmas, jo </w:t>
            </w:r>
            <w:r>
              <w:rPr>
                <w:rFonts w:ascii="Times New Roman" w:hAnsi="Times New Roman" w:cs="Times New Roman"/>
                <w:sz w:val="24"/>
                <w:szCs w:val="24"/>
                <w:lang w:eastAsia="lv-LV"/>
              </w:rPr>
              <w:t>tās</w:t>
            </w:r>
            <w:r w:rsidRPr="0035623D">
              <w:rPr>
                <w:rFonts w:ascii="Times New Roman" w:hAnsi="Times New Roman" w:cs="Times New Roman"/>
                <w:sz w:val="24"/>
                <w:szCs w:val="24"/>
                <w:lang w:eastAsia="lv-LV"/>
              </w:rPr>
              <w:t xml:space="preserve"> atkarīgas no vairākiem faktoriem, piemēram, no tā, vai </w:t>
            </w:r>
            <w:r w:rsidR="007678C9">
              <w:rPr>
                <w:rFonts w:ascii="Times New Roman" w:hAnsi="Times New Roman" w:cs="Times New Roman"/>
                <w:sz w:val="24"/>
                <w:szCs w:val="24"/>
                <w:lang w:eastAsia="lv-LV"/>
              </w:rPr>
              <w:t>N</w:t>
            </w:r>
            <w:r w:rsidRPr="0035623D">
              <w:rPr>
                <w:rFonts w:ascii="Times New Roman" w:hAnsi="Times New Roman" w:cs="Times New Roman"/>
                <w:sz w:val="24"/>
                <w:szCs w:val="24"/>
                <w:lang w:eastAsia="lv-LV"/>
              </w:rPr>
              <w:t xml:space="preserve">oteikumu </w:t>
            </w:r>
            <w:r>
              <w:rPr>
                <w:rFonts w:ascii="Times New Roman" w:hAnsi="Times New Roman" w:cs="Times New Roman"/>
                <w:sz w:val="24"/>
                <w:szCs w:val="24"/>
                <w:lang w:eastAsia="lv-LV"/>
              </w:rPr>
              <w:t xml:space="preserve">projektā paredzēto </w:t>
            </w:r>
            <w:r w:rsidRPr="0035623D">
              <w:rPr>
                <w:rFonts w:ascii="Times New Roman" w:hAnsi="Times New Roman" w:cs="Times New Roman"/>
                <w:sz w:val="24"/>
                <w:szCs w:val="24"/>
                <w:lang w:eastAsia="lv-LV"/>
              </w:rPr>
              <w:t xml:space="preserve">prasību ieviešanai </w:t>
            </w:r>
            <w:r>
              <w:rPr>
                <w:rFonts w:ascii="Times New Roman" w:hAnsi="Times New Roman" w:cs="Times New Roman"/>
                <w:sz w:val="24"/>
                <w:szCs w:val="24"/>
                <w:lang w:eastAsia="lv-LV"/>
              </w:rPr>
              <w:t xml:space="preserve">finanšu </w:t>
            </w:r>
            <w:r w:rsidRPr="0035623D">
              <w:rPr>
                <w:rFonts w:ascii="Times New Roman" w:hAnsi="Times New Roman" w:cs="Times New Roman"/>
                <w:sz w:val="24"/>
                <w:szCs w:val="24"/>
                <w:lang w:eastAsia="lv-LV"/>
              </w:rPr>
              <w:t xml:space="preserve">tirgus dalībnieks izmantos iekšējos vai ārējos resursus. </w:t>
            </w:r>
            <w:r w:rsidR="00964E44">
              <w:rPr>
                <w:rFonts w:ascii="Times New Roman" w:hAnsi="Times New Roman" w:cs="Times New Roman"/>
                <w:sz w:val="24"/>
                <w:szCs w:val="24"/>
                <w:lang w:eastAsia="lv-LV"/>
              </w:rPr>
              <w:t xml:space="preserve">Daļu jauno </w:t>
            </w:r>
            <w:r w:rsidR="007A3DBA">
              <w:rPr>
                <w:rFonts w:ascii="Times New Roman" w:hAnsi="Times New Roman" w:cs="Times New Roman"/>
                <w:sz w:val="24"/>
                <w:szCs w:val="24"/>
                <w:lang w:eastAsia="lv-LV"/>
              </w:rPr>
              <w:t xml:space="preserve">Noteikumu </w:t>
            </w:r>
            <w:r w:rsidR="00964E44">
              <w:rPr>
                <w:rFonts w:ascii="Times New Roman" w:hAnsi="Times New Roman" w:cs="Times New Roman"/>
                <w:sz w:val="24"/>
                <w:szCs w:val="24"/>
                <w:lang w:eastAsia="lv-LV"/>
              </w:rPr>
              <w:t>projektā ietverto prasību</w:t>
            </w:r>
            <w:r w:rsidR="007A3DBA">
              <w:rPr>
                <w:rFonts w:ascii="Times New Roman" w:hAnsi="Times New Roman" w:cs="Times New Roman"/>
                <w:sz w:val="24"/>
                <w:szCs w:val="24"/>
                <w:lang w:eastAsia="lv-LV"/>
              </w:rPr>
              <w:t>,</w:t>
            </w:r>
            <w:r w:rsidR="00964E44">
              <w:rPr>
                <w:rFonts w:ascii="Times New Roman" w:hAnsi="Times New Roman" w:cs="Times New Roman"/>
                <w:sz w:val="24"/>
                <w:szCs w:val="24"/>
                <w:lang w:eastAsia="lv-LV"/>
              </w:rPr>
              <w:t xml:space="preserve"> piemēram, noteikt iekšējo limitu izdzīvošanas periodam, vairākas kredītiestādes </w:t>
            </w:r>
            <w:r w:rsidR="007A3DBA">
              <w:rPr>
                <w:rFonts w:ascii="Times New Roman" w:hAnsi="Times New Roman" w:cs="Times New Roman"/>
                <w:sz w:val="24"/>
                <w:szCs w:val="24"/>
                <w:lang w:eastAsia="lv-LV"/>
              </w:rPr>
              <w:t xml:space="preserve">jau </w:t>
            </w:r>
            <w:r w:rsidR="00964E44">
              <w:rPr>
                <w:rFonts w:ascii="Times New Roman" w:hAnsi="Times New Roman" w:cs="Times New Roman"/>
                <w:sz w:val="24"/>
                <w:szCs w:val="24"/>
                <w:lang w:eastAsia="lv-LV"/>
              </w:rPr>
              <w:t>ir ieviesušas un izmanto likviditātes riska pārvaldībā.</w:t>
            </w:r>
          </w:p>
        </w:tc>
      </w:tr>
      <w:tr w:rsidR="000B4E0A" w:rsidRPr="000B4E0A" w14:paraId="7D4BF66F" w14:textId="77777777" w:rsidTr="00A00DBA">
        <w:trPr>
          <w:trHeight w:val="567"/>
        </w:trPr>
        <w:tc>
          <w:tcPr>
            <w:tcW w:w="1248" w:type="pct"/>
            <w:shd w:val="clear" w:color="auto" w:fill="auto"/>
            <w:hideMark/>
          </w:tcPr>
          <w:p w14:paraId="6BF5C118" w14:textId="77777777" w:rsidR="00A42788" w:rsidRPr="00A26017" w:rsidRDefault="00A42788" w:rsidP="000B4E0A">
            <w:pPr>
              <w:spacing w:after="0" w:line="240" w:lineRule="auto"/>
              <w:rPr>
                <w:rFonts w:ascii="Times New Roman" w:eastAsia="Times New Roman" w:hAnsi="Times New Roman" w:cs="Times New Roman"/>
                <w:b/>
                <w:bCs/>
                <w:sz w:val="24"/>
                <w:szCs w:val="24"/>
                <w:lang w:eastAsia="lv-LV"/>
              </w:rPr>
            </w:pPr>
            <w:r w:rsidRPr="00A26017">
              <w:rPr>
                <w:rFonts w:ascii="Times New Roman" w:eastAsia="Times New Roman" w:hAnsi="Times New Roman" w:cs="Times New Roman"/>
                <w:b/>
                <w:bCs/>
                <w:sz w:val="24"/>
                <w:szCs w:val="24"/>
                <w:lang w:eastAsia="lv-LV"/>
              </w:rPr>
              <w:t>Saistītie dokumenti</w:t>
            </w:r>
          </w:p>
          <w:p w14:paraId="4DFDB7CB" w14:textId="77777777" w:rsidR="00CA28AB" w:rsidRPr="00A26017"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0ED0E66C" w14:textId="214EB406" w:rsidR="00CC7E25" w:rsidRPr="00677613" w:rsidRDefault="00CC7E25" w:rsidP="00677613">
            <w:pPr>
              <w:pStyle w:val="ListParagraph"/>
              <w:spacing w:after="120" w:line="240" w:lineRule="auto"/>
              <w:ind w:left="316" w:hanging="280"/>
              <w:contextualSpacing w:val="0"/>
              <w:jc w:val="both"/>
              <w:rPr>
                <w:rFonts w:ascii="Times New Roman" w:hAnsi="Times New Roman" w:cs="Times New Roman"/>
                <w:sz w:val="24"/>
                <w:szCs w:val="24"/>
              </w:rPr>
            </w:pPr>
            <w:r>
              <w:rPr>
                <w:rFonts w:ascii="Times New Roman" w:hAnsi="Times New Roman" w:cs="Times New Roman"/>
                <w:sz w:val="24"/>
                <w:szCs w:val="24"/>
              </w:rPr>
              <w:t>Ar Noteikumu projektu saistītie dokumenti:</w:t>
            </w:r>
          </w:p>
          <w:p w14:paraId="3AF3CA0B" w14:textId="64EA627B" w:rsidR="0077245D"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11" w:history="1">
              <w:r w:rsidR="0030104E" w:rsidRPr="0077245D">
                <w:rPr>
                  <w:rStyle w:val="Hyperlink"/>
                  <w:rFonts w:ascii="Times New Roman" w:hAnsi="Times New Roman" w:cs="Times New Roman"/>
                  <w:sz w:val="24"/>
                  <w:szCs w:val="24"/>
                </w:rPr>
                <w:t>Kredītiestāžu likums</w:t>
              </w:r>
            </w:hyperlink>
            <w:r w:rsidR="0030104E" w:rsidRPr="0077245D">
              <w:rPr>
                <w:rFonts w:ascii="Times New Roman" w:hAnsi="Times New Roman" w:cs="Times New Roman"/>
                <w:sz w:val="24"/>
                <w:szCs w:val="24"/>
              </w:rPr>
              <w:t>;</w:t>
            </w:r>
          </w:p>
          <w:p w14:paraId="6C26593F" w14:textId="07FA8D0C" w:rsidR="0077245D"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12" w:history="1">
              <w:r w:rsidR="0030104E" w:rsidRPr="0077245D">
                <w:rPr>
                  <w:rStyle w:val="Hyperlink"/>
                  <w:rFonts w:ascii="Times New Roman" w:hAnsi="Times New Roman" w:cs="Times New Roman"/>
                  <w:sz w:val="24"/>
                  <w:szCs w:val="24"/>
                </w:rPr>
                <w:t>Latvijas Bankas likums</w:t>
              </w:r>
            </w:hyperlink>
            <w:r w:rsidR="0030104E" w:rsidRPr="0077245D">
              <w:rPr>
                <w:rFonts w:ascii="Times New Roman" w:hAnsi="Times New Roman" w:cs="Times New Roman"/>
                <w:sz w:val="24"/>
                <w:szCs w:val="24"/>
              </w:rPr>
              <w:t>;</w:t>
            </w:r>
          </w:p>
          <w:p w14:paraId="31FB2F5F" w14:textId="25BE0AAB" w:rsidR="0077245D"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13" w:history="1">
              <w:r w:rsidR="0030104E" w:rsidRPr="0077245D">
                <w:rPr>
                  <w:rStyle w:val="Hyperlink"/>
                  <w:rFonts w:ascii="Times New Roman" w:hAnsi="Times New Roman" w:cs="Times New Roman"/>
                  <w:sz w:val="24"/>
                  <w:szCs w:val="24"/>
                </w:rPr>
                <w:t>Ieguldījumu brokeru sabiedrību likums</w:t>
              </w:r>
            </w:hyperlink>
            <w:r w:rsidR="0030104E" w:rsidRPr="0077245D">
              <w:rPr>
                <w:rFonts w:ascii="Times New Roman" w:hAnsi="Times New Roman" w:cs="Times New Roman"/>
                <w:sz w:val="24"/>
                <w:szCs w:val="24"/>
              </w:rPr>
              <w:t>;</w:t>
            </w:r>
          </w:p>
          <w:p w14:paraId="56FC3B94" w14:textId="74CC34D1" w:rsidR="0030104E"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14" w:history="1">
              <w:r w:rsidR="003D06FC">
                <w:rPr>
                  <w:rStyle w:val="Hyperlink"/>
                  <w:rFonts w:ascii="Times New Roman" w:hAnsi="Times New Roman" w:cs="Times New Roman"/>
                  <w:sz w:val="24"/>
                  <w:szCs w:val="24"/>
                </w:rPr>
                <w:t>Eiropas Parlamenta un Padomes 2013.</w:t>
              </w:r>
              <w:r w:rsidR="009A3354">
                <w:rPr>
                  <w:rStyle w:val="Hyperlink"/>
                  <w:rFonts w:ascii="Times New Roman" w:hAnsi="Times New Roman" w:cs="Times New Roman"/>
                  <w:sz w:val="24"/>
                  <w:szCs w:val="24"/>
                </w:rPr>
                <w:t> </w:t>
              </w:r>
              <w:r w:rsidR="003D06FC">
                <w:rPr>
                  <w:rStyle w:val="Hyperlink"/>
                  <w:rFonts w:ascii="Times New Roman" w:hAnsi="Times New Roman" w:cs="Times New Roman"/>
                  <w:sz w:val="24"/>
                  <w:szCs w:val="24"/>
                </w:rPr>
                <w:t>gada 26.</w:t>
              </w:r>
              <w:r w:rsidR="009A3354">
                <w:rPr>
                  <w:rStyle w:val="Hyperlink"/>
                  <w:rFonts w:ascii="Times New Roman" w:hAnsi="Times New Roman" w:cs="Times New Roman"/>
                  <w:sz w:val="24"/>
                  <w:szCs w:val="24"/>
                </w:rPr>
                <w:t> </w:t>
              </w:r>
              <w:r w:rsidR="003D06FC">
                <w:rPr>
                  <w:rStyle w:val="Hyperlink"/>
                  <w:rFonts w:ascii="Times New Roman" w:hAnsi="Times New Roman" w:cs="Times New Roman"/>
                  <w:sz w:val="24"/>
                  <w:szCs w:val="24"/>
                </w:rPr>
                <w:t>jūnija regula (ES) Nr.</w:t>
              </w:r>
              <w:r w:rsidR="009A3354">
                <w:rPr>
                  <w:rStyle w:val="Hyperlink"/>
                  <w:rFonts w:ascii="Times New Roman" w:hAnsi="Times New Roman" w:cs="Times New Roman"/>
                  <w:sz w:val="24"/>
                  <w:szCs w:val="24"/>
                </w:rPr>
                <w:t> </w:t>
              </w:r>
              <w:r w:rsidR="003D06FC">
                <w:rPr>
                  <w:rStyle w:val="Hyperlink"/>
                  <w:rFonts w:ascii="Times New Roman" w:hAnsi="Times New Roman" w:cs="Times New Roman"/>
                  <w:sz w:val="24"/>
                  <w:szCs w:val="24"/>
                </w:rPr>
                <w:t>575/2013 par prudenciālajām prasībām attiecībā uz kredītiestādēm, un ar ko groza regulu (ES) Nr.</w:t>
              </w:r>
              <w:r w:rsidR="009A3354">
                <w:rPr>
                  <w:rStyle w:val="Hyperlink"/>
                  <w:rFonts w:ascii="Times New Roman" w:hAnsi="Times New Roman" w:cs="Times New Roman"/>
                  <w:sz w:val="24"/>
                  <w:szCs w:val="24"/>
                </w:rPr>
                <w:t> </w:t>
              </w:r>
              <w:r w:rsidR="003D06FC">
                <w:rPr>
                  <w:rStyle w:val="Hyperlink"/>
                  <w:rFonts w:ascii="Times New Roman" w:hAnsi="Times New Roman" w:cs="Times New Roman"/>
                  <w:sz w:val="24"/>
                  <w:szCs w:val="24"/>
                </w:rPr>
                <w:t>648/2012</w:t>
              </w:r>
            </w:hyperlink>
            <w:r w:rsidR="0030104E" w:rsidRPr="0077245D">
              <w:rPr>
                <w:rFonts w:ascii="Times New Roman" w:hAnsi="Times New Roman" w:cs="Times New Roman"/>
                <w:sz w:val="24"/>
                <w:szCs w:val="24"/>
              </w:rPr>
              <w:t>;</w:t>
            </w:r>
          </w:p>
          <w:p w14:paraId="7030BBC6" w14:textId="091F0395" w:rsidR="0088497E"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15" w:history="1">
              <w:r w:rsidR="0088497E">
                <w:rPr>
                  <w:rStyle w:val="Hyperlink"/>
                  <w:rFonts w:ascii="Times New Roman" w:hAnsi="Times New Roman" w:cs="Times New Roman"/>
                  <w:sz w:val="24"/>
                  <w:szCs w:val="24"/>
                </w:rPr>
                <w:t>Komisijas 2014.</w:t>
              </w:r>
              <w:r w:rsidR="009A3354">
                <w:rPr>
                  <w:rStyle w:val="Hyperlink"/>
                  <w:rFonts w:ascii="Times New Roman" w:hAnsi="Times New Roman" w:cs="Times New Roman"/>
                  <w:sz w:val="24"/>
                  <w:szCs w:val="24"/>
                </w:rPr>
                <w:t> </w:t>
              </w:r>
              <w:r w:rsidR="0088497E">
                <w:rPr>
                  <w:rStyle w:val="Hyperlink"/>
                  <w:rFonts w:ascii="Times New Roman" w:hAnsi="Times New Roman" w:cs="Times New Roman"/>
                  <w:sz w:val="24"/>
                  <w:szCs w:val="24"/>
                </w:rPr>
                <w:t>gada 10.</w:t>
              </w:r>
              <w:r w:rsidR="009A3354">
                <w:rPr>
                  <w:rStyle w:val="Hyperlink"/>
                  <w:rFonts w:ascii="Times New Roman" w:hAnsi="Times New Roman" w:cs="Times New Roman"/>
                  <w:sz w:val="24"/>
                  <w:szCs w:val="24"/>
                </w:rPr>
                <w:t> </w:t>
              </w:r>
              <w:r w:rsidR="0088497E">
                <w:rPr>
                  <w:rStyle w:val="Hyperlink"/>
                  <w:rFonts w:ascii="Times New Roman" w:hAnsi="Times New Roman" w:cs="Times New Roman"/>
                  <w:sz w:val="24"/>
                  <w:szCs w:val="24"/>
                </w:rPr>
                <w:t>oktobra deleģētā regula (ES)</w:t>
              </w:r>
              <w:r w:rsidR="00CF7D64">
                <w:rPr>
                  <w:rStyle w:val="Hyperlink"/>
                  <w:rFonts w:ascii="Times New Roman" w:hAnsi="Times New Roman" w:cs="Times New Roman"/>
                  <w:sz w:val="24"/>
                  <w:szCs w:val="24"/>
                </w:rPr>
                <w:t> </w:t>
              </w:r>
              <w:r w:rsidR="0088497E">
                <w:rPr>
                  <w:rStyle w:val="Hyperlink"/>
                  <w:rFonts w:ascii="Times New Roman" w:hAnsi="Times New Roman" w:cs="Times New Roman"/>
                  <w:sz w:val="24"/>
                  <w:szCs w:val="24"/>
                </w:rPr>
                <w:t>2015/61, ar ko papildina Eiropas Parlamenta un Padomes regulu (ES) Nr.</w:t>
              </w:r>
              <w:r w:rsidR="009A3354">
                <w:rPr>
                  <w:rStyle w:val="Hyperlink"/>
                  <w:rFonts w:ascii="Times New Roman" w:hAnsi="Times New Roman" w:cs="Times New Roman"/>
                  <w:sz w:val="24"/>
                  <w:szCs w:val="24"/>
                </w:rPr>
                <w:t> </w:t>
              </w:r>
              <w:r w:rsidR="0088497E">
                <w:rPr>
                  <w:rStyle w:val="Hyperlink"/>
                  <w:rFonts w:ascii="Times New Roman" w:hAnsi="Times New Roman" w:cs="Times New Roman"/>
                  <w:sz w:val="24"/>
                  <w:szCs w:val="24"/>
                </w:rPr>
                <w:t>575/2013 attiecībā uz likviditātes seguma prasību kredītiestādēm</w:t>
              </w:r>
            </w:hyperlink>
            <w:r w:rsidR="004259ED">
              <w:rPr>
                <w:rFonts w:ascii="Times New Roman" w:hAnsi="Times New Roman" w:cs="Times New Roman"/>
                <w:sz w:val="24"/>
                <w:szCs w:val="24"/>
              </w:rPr>
              <w:t>;</w:t>
            </w:r>
          </w:p>
          <w:p w14:paraId="43F4939C" w14:textId="7E15754F" w:rsidR="0088497E"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16" w:history="1">
              <w:r w:rsidR="00395B8E">
                <w:rPr>
                  <w:rStyle w:val="Hyperlink"/>
                  <w:rFonts w:ascii="Times New Roman" w:hAnsi="Times New Roman" w:cs="Times New Roman"/>
                  <w:sz w:val="24"/>
                  <w:szCs w:val="24"/>
                </w:rPr>
                <w:t>Direktīva Nr.</w:t>
              </w:r>
              <w:r w:rsidR="009A3354">
                <w:rPr>
                  <w:rStyle w:val="Hyperlink"/>
                  <w:rFonts w:ascii="Times New Roman" w:hAnsi="Times New Roman" w:cs="Times New Roman"/>
                  <w:sz w:val="24"/>
                  <w:szCs w:val="24"/>
                </w:rPr>
                <w:t> </w:t>
              </w:r>
              <w:r w:rsidR="00395B8E">
                <w:rPr>
                  <w:rStyle w:val="Hyperlink"/>
                  <w:rFonts w:ascii="Times New Roman" w:hAnsi="Times New Roman" w:cs="Times New Roman"/>
                  <w:sz w:val="24"/>
                  <w:szCs w:val="24"/>
                </w:rPr>
                <w:t>2013/36/ES</w:t>
              </w:r>
            </w:hyperlink>
            <w:r w:rsidR="004259ED">
              <w:rPr>
                <w:rFonts w:ascii="Times New Roman" w:hAnsi="Times New Roman" w:cs="Times New Roman"/>
                <w:sz w:val="24"/>
                <w:szCs w:val="24"/>
              </w:rPr>
              <w:t>;</w:t>
            </w:r>
          </w:p>
          <w:p w14:paraId="55885DBB" w14:textId="05D9273A" w:rsidR="00AB7144"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17" w:history="1">
              <w:r w:rsidR="00987A50">
                <w:rPr>
                  <w:rStyle w:val="Hyperlink"/>
                  <w:rFonts w:ascii="Times New Roman" w:hAnsi="Times New Roman" w:cs="Times New Roman"/>
                  <w:sz w:val="24"/>
                  <w:szCs w:val="24"/>
                </w:rPr>
                <w:t>Direktīva</w:t>
              </w:r>
              <w:r w:rsidR="00CF7D64">
                <w:rPr>
                  <w:rStyle w:val="Hyperlink"/>
                  <w:rFonts w:ascii="Times New Roman" w:hAnsi="Times New Roman" w:cs="Times New Roman"/>
                  <w:sz w:val="24"/>
                  <w:szCs w:val="24"/>
                </w:rPr>
                <w:t> </w:t>
              </w:r>
              <w:r w:rsidR="00987A50">
                <w:rPr>
                  <w:rStyle w:val="Hyperlink"/>
                  <w:rFonts w:ascii="Times New Roman" w:hAnsi="Times New Roman" w:cs="Times New Roman"/>
                  <w:sz w:val="24"/>
                  <w:szCs w:val="24"/>
                </w:rPr>
                <w:t>2019/2034</w:t>
              </w:r>
            </w:hyperlink>
            <w:r w:rsidR="00AB7144">
              <w:rPr>
                <w:rFonts w:ascii="Times New Roman" w:hAnsi="Times New Roman" w:cs="Times New Roman"/>
                <w:sz w:val="24"/>
                <w:szCs w:val="24"/>
              </w:rPr>
              <w:t>;</w:t>
            </w:r>
          </w:p>
          <w:p w14:paraId="6D022CDA" w14:textId="1EFA3284" w:rsidR="00286EC7" w:rsidRPr="00EE4DDB" w:rsidRDefault="00A354BF" w:rsidP="00CC7E25">
            <w:pPr>
              <w:pStyle w:val="ListParagraph"/>
              <w:numPr>
                <w:ilvl w:val="0"/>
                <w:numId w:val="7"/>
              </w:numPr>
              <w:spacing w:after="120" w:line="240" w:lineRule="auto"/>
              <w:ind w:left="316" w:hanging="357"/>
              <w:contextualSpacing w:val="0"/>
              <w:jc w:val="both"/>
              <w:rPr>
                <w:rStyle w:val="Hyperlink"/>
                <w:rFonts w:ascii="Times New Roman" w:hAnsi="Times New Roman" w:cs="Times New Roman"/>
                <w:sz w:val="24"/>
                <w:szCs w:val="24"/>
              </w:rPr>
            </w:pPr>
            <w:hyperlink r:id="rId18" w:history="1">
              <w:r w:rsidR="00A933A7">
                <w:rPr>
                  <w:rStyle w:val="Hyperlink"/>
                  <w:rFonts w:ascii="Times New Roman" w:hAnsi="Times New Roman" w:cs="Times New Roman"/>
                  <w:sz w:val="24"/>
                  <w:szCs w:val="24"/>
                </w:rPr>
                <w:t>Pamatnostādnes par stresa testiem</w:t>
              </w:r>
            </w:hyperlink>
            <w:r w:rsidR="00286EC7" w:rsidRPr="00EE4DDB">
              <w:rPr>
                <w:rStyle w:val="Hyperlink"/>
                <w:rFonts w:ascii="Times New Roman" w:hAnsi="Times New Roman" w:cs="Times New Roman"/>
                <w:sz w:val="24"/>
                <w:szCs w:val="24"/>
              </w:rPr>
              <w:t>;</w:t>
            </w:r>
          </w:p>
          <w:p w14:paraId="219087DE" w14:textId="7F70C306" w:rsidR="00286EC7" w:rsidRPr="00005BDC" w:rsidRDefault="00A354BF" w:rsidP="00CC7E25">
            <w:pPr>
              <w:pStyle w:val="ListParagraph"/>
              <w:numPr>
                <w:ilvl w:val="0"/>
                <w:numId w:val="7"/>
              </w:numPr>
              <w:spacing w:after="120" w:line="240" w:lineRule="auto"/>
              <w:ind w:left="316" w:hanging="357"/>
              <w:contextualSpacing w:val="0"/>
              <w:jc w:val="both"/>
              <w:rPr>
                <w:rStyle w:val="Hyperlink"/>
                <w:rFonts w:ascii="Times New Roman" w:hAnsi="Times New Roman" w:cs="Times New Roman"/>
                <w:color w:val="auto"/>
                <w:sz w:val="24"/>
                <w:szCs w:val="24"/>
                <w:u w:val="none"/>
              </w:rPr>
            </w:pPr>
            <w:hyperlink r:id="rId19" w:history="1">
              <w:r w:rsidR="00286EC7" w:rsidRPr="00B50B94">
                <w:rPr>
                  <w:rStyle w:val="Hyperlink"/>
                  <w:rFonts w:ascii="Times New Roman" w:hAnsi="Times New Roman" w:cs="Times New Roman"/>
                  <w:sz w:val="24"/>
                  <w:szCs w:val="24"/>
                </w:rPr>
                <w:t>Pamatnostādnes par SREP</w:t>
              </w:r>
            </w:hyperlink>
            <w:r w:rsidR="00286EC7" w:rsidRPr="00B50B94">
              <w:rPr>
                <w:rStyle w:val="Hyperlink"/>
                <w:rFonts w:ascii="Times New Roman" w:hAnsi="Times New Roman" w:cs="Times New Roman"/>
                <w:sz w:val="24"/>
                <w:szCs w:val="24"/>
              </w:rPr>
              <w:t>;</w:t>
            </w:r>
          </w:p>
          <w:p w14:paraId="4C1A2DB6" w14:textId="21C738B8" w:rsidR="00286EC7" w:rsidRPr="0029333D" w:rsidRDefault="00A354BF" w:rsidP="00CC7E25">
            <w:pPr>
              <w:pStyle w:val="ListParagraph"/>
              <w:numPr>
                <w:ilvl w:val="0"/>
                <w:numId w:val="7"/>
              </w:numPr>
              <w:spacing w:after="120" w:line="240" w:lineRule="auto"/>
              <w:ind w:left="316" w:hanging="357"/>
              <w:contextualSpacing w:val="0"/>
              <w:jc w:val="both"/>
              <w:rPr>
                <w:rStyle w:val="Hyperlink"/>
                <w:rFonts w:ascii="Times New Roman" w:hAnsi="Times New Roman" w:cs="Times New Roman"/>
                <w:color w:val="auto"/>
                <w:sz w:val="24"/>
                <w:szCs w:val="24"/>
                <w:u w:val="none"/>
              </w:rPr>
            </w:pPr>
            <w:hyperlink r:id="rId20" w:history="1">
              <w:r w:rsidR="00286EC7" w:rsidRPr="0029333D">
                <w:rPr>
                  <w:rStyle w:val="Hyperlink"/>
                  <w:rFonts w:ascii="Times New Roman" w:hAnsi="Times New Roman" w:cs="Times New Roman"/>
                  <w:sz w:val="24"/>
                  <w:szCs w:val="24"/>
                </w:rPr>
                <w:t>Pamatnostādnes par informāciju</w:t>
              </w:r>
            </w:hyperlink>
            <w:r w:rsidR="00286EC7" w:rsidRPr="0029333D">
              <w:rPr>
                <w:rStyle w:val="Hyperlink"/>
                <w:rFonts w:ascii="Times New Roman" w:hAnsi="Times New Roman" w:cs="Times New Roman"/>
                <w:sz w:val="24"/>
                <w:szCs w:val="24"/>
              </w:rPr>
              <w:t>;</w:t>
            </w:r>
          </w:p>
          <w:p w14:paraId="12B8343E" w14:textId="5B0D5825" w:rsidR="0080275F" w:rsidRDefault="00A354BF" w:rsidP="00CC7E25">
            <w:pPr>
              <w:pStyle w:val="ListParagraph"/>
              <w:numPr>
                <w:ilvl w:val="0"/>
                <w:numId w:val="7"/>
              </w:numPr>
              <w:spacing w:after="120" w:line="240" w:lineRule="auto"/>
              <w:ind w:left="316" w:hanging="357"/>
              <w:contextualSpacing w:val="0"/>
              <w:jc w:val="both"/>
              <w:rPr>
                <w:rFonts w:ascii="Times New Roman" w:hAnsi="Times New Roman" w:cs="Times New Roman"/>
                <w:sz w:val="24"/>
                <w:szCs w:val="24"/>
              </w:rPr>
            </w:pPr>
            <w:hyperlink r:id="rId21" w:history="1">
              <w:r w:rsidR="00675332">
                <w:rPr>
                  <w:rStyle w:val="Hyperlink"/>
                  <w:rFonts w:ascii="Times New Roman" w:hAnsi="Times New Roman" w:cs="Times New Roman"/>
                  <w:sz w:val="24"/>
                  <w:szCs w:val="24"/>
                </w:rPr>
                <w:t>EBUK rekomendācijas</w:t>
              </w:r>
            </w:hyperlink>
            <w:r w:rsidR="0080275F">
              <w:rPr>
                <w:rFonts w:ascii="Times New Roman" w:hAnsi="Times New Roman" w:cs="Times New Roman"/>
                <w:sz w:val="24"/>
                <w:szCs w:val="24"/>
              </w:rPr>
              <w:t>;</w:t>
            </w:r>
          </w:p>
          <w:p w14:paraId="27C80895" w14:textId="77777777" w:rsidR="00E163D6" w:rsidRPr="00E163D6" w:rsidRDefault="00A354BF" w:rsidP="00CC7E25">
            <w:pPr>
              <w:pStyle w:val="ListParagraph"/>
              <w:numPr>
                <w:ilvl w:val="0"/>
                <w:numId w:val="7"/>
              </w:numPr>
              <w:spacing w:after="120" w:line="240" w:lineRule="auto"/>
              <w:ind w:left="315" w:hanging="357"/>
              <w:contextualSpacing w:val="0"/>
              <w:jc w:val="both"/>
              <w:rPr>
                <w:rStyle w:val="Hyperlink"/>
                <w:rFonts w:ascii="Times New Roman" w:eastAsia="Times New Roman" w:hAnsi="Times New Roman" w:cs="Times New Roman"/>
                <w:color w:val="auto"/>
                <w:sz w:val="24"/>
                <w:szCs w:val="24"/>
                <w:u w:val="none"/>
                <w:lang w:eastAsia="lv-LV"/>
              </w:rPr>
            </w:pPr>
            <w:hyperlink r:id="rId22" w:history="1">
              <w:r w:rsidR="0080275F" w:rsidRPr="00A26017">
                <w:rPr>
                  <w:rStyle w:val="Hyperlink"/>
                  <w:rFonts w:ascii="Times New Roman" w:hAnsi="Times New Roman" w:cs="Times New Roman"/>
                  <w:sz w:val="24"/>
                  <w:szCs w:val="24"/>
                </w:rPr>
                <w:t>Latvijas Bankas 2022. gada 24. oktobra noteikumi Nr. 226 "Noteikumi par elektronisko informācijas apmaiņu ar Latvijas Banku"</w:t>
              </w:r>
            </w:hyperlink>
            <w:r w:rsidR="0080275F" w:rsidRPr="00A26017">
              <w:rPr>
                <w:rStyle w:val="Hyperlink"/>
                <w:rFonts w:ascii="Times New Roman" w:hAnsi="Times New Roman" w:cs="Times New Roman"/>
                <w:sz w:val="24"/>
                <w:szCs w:val="24"/>
              </w:rPr>
              <w:t>;</w:t>
            </w:r>
          </w:p>
          <w:p w14:paraId="7E8EB498" w14:textId="2DD66ABD" w:rsidR="00C0501A" w:rsidRPr="006000F6" w:rsidRDefault="00A354BF" w:rsidP="00CC7E25">
            <w:pPr>
              <w:pStyle w:val="ListParagraph"/>
              <w:numPr>
                <w:ilvl w:val="0"/>
                <w:numId w:val="7"/>
              </w:numPr>
              <w:spacing w:after="120" w:line="240" w:lineRule="auto"/>
              <w:ind w:left="315" w:hanging="357"/>
              <w:contextualSpacing w:val="0"/>
              <w:jc w:val="both"/>
              <w:rPr>
                <w:rFonts w:ascii="Times New Roman" w:eastAsia="Times New Roman" w:hAnsi="Times New Roman" w:cs="Times New Roman"/>
                <w:sz w:val="24"/>
                <w:szCs w:val="24"/>
                <w:lang w:eastAsia="lv-LV"/>
              </w:rPr>
            </w:pPr>
            <w:hyperlink r:id="rId23" w:history="1">
              <w:r w:rsidR="00C0501A" w:rsidRPr="006000F6">
                <w:rPr>
                  <w:rStyle w:val="Hyperlink"/>
                  <w:rFonts w:ascii="Times New Roman" w:hAnsi="Times New Roman" w:cs="Times New Roman"/>
                  <w:sz w:val="24"/>
                  <w:szCs w:val="24"/>
                  <w:shd w:val="clear" w:color="auto" w:fill="FFFFFF"/>
                </w:rPr>
                <w:t>Noteikumi Nr. 218</w:t>
              </w:r>
            </w:hyperlink>
            <w:r w:rsidR="00C0501A">
              <w:rPr>
                <w:rFonts w:ascii="Times New Roman" w:hAnsi="Times New Roman" w:cs="Times New Roman"/>
                <w:sz w:val="24"/>
                <w:szCs w:val="24"/>
                <w:shd w:val="clear" w:color="auto" w:fill="FFFFFF"/>
              </w:rPr>
              <w:t>;</w:t>
            </w:r>
          </w:p>
          <w:p w14:paraId="1980CD2D" w14:textId="29FB702A" w:rsidR="006C641C" w:rsidRPr="00A26017" w:rsidRDefault="00A354BF" w:rsidP="00CC7E25">
            <w:pPr>
              <w:pStyle w:val="ListParagraph"/>
              <w:numPr>
                <w:ilvl w:val="0"/>
                <w:numId w:val="7"/>
              </w:numPr>
              <w:spacing w:after="120" w:line="240" w:lineRule="auto"/>
              <w:ind w:left="315" w:hanging="357"/>
              <w:contextualSpacing w:val="0"/>
              <w:jc w:val="both"/>
              <w:rPr>
                <w:rFonts w:ascii="Times New Roman" w:eastAsia="Times New Roman" w:hAnsi="Times New Roman" w:cs="Times New Roman"/>
                <w:sz w:val="24"/>
                <w:szCs w:val="24"/>
                <w:lang w:eastAsia="lv-LV"/>
              </w:rPr>
            </w:pPr>
            <w:hyperlink r:id="rId24" w:history="1">
              <w:r w:rsidR="001D0102" w:rsidRPr="00A26017">
                <w:rPr>
                  <w:rStyle w:val="Hyperlink"/>
                  <w:rFonts w:ascii="Times New Roman" w:hAnsi="Times New Roman" w:cs="Times New Roman"/>
                  <w:sz w:val="24"/>
                  <w:szCs w:val="24"/>
                </w:rPr>
                <w:t>Noteikumi Nr. 209</w:t>
              </w:r>
            </w:hyperlink>
            <w:r w:rsidR="001D0102" w:rsidRPr="00A26017">
              <w:rPr>
                <w:rFonts w:ascii="Times New Roman" w:hAnsi="Times New Roman" w:cs="Times New Roman"/>
                <w:sz w:val="24"/>
                <w:szCs w:val="24"/>
              </w:rPr>
              <w:t xml:space="preserve"> (minētos noteikumus aizstās Latvijas Bankas noteikumu </w:t>
            </w:r>
            <w:r w:rsidR="00B107D6" w:rsidRPr="00A26017">
              <w:rPr>
                <w:rFonts w:ascii="Times New Roman" w:hAnsi="Times New Roman" w:cs="Times New Roman"/>
                <w:sz w:val="24"/>
                <w:szCs w:val="24"/>
              </w:rPr>
              <w:t xml:space="preserve">projekts </w:t>
            </w:r>
            <w:r w:rsidR="004451BE" w:rsidRPr="00A26017">
              <w:rPr>
                <w:rFonts w:ascii="Times New Roman" w:hAnsi="Times New Roman" w:cs="Times New Roman"/>
                <w:sz w:val="24"/>
                <w:szCs w:val="24"/>
              </w:rPr>
              <w:t>"</w:t>
            </w:r>
            <w:hyperlink r:id="rId25" w:history="1">
              <w:r w:rsidR="004451BE" w:rsidRPr="00A50CFA">
                <w:rPr>
                  <w:rStyle w:val="Hyperlink"/>
                  <w:rFonts w:ascii="Times New Roman" w:hAnsi="Times New Roman" w:cs="Times New Roman"/>
                  <w:sz w:val="24"/>
                  <w:szCs w:val="24"/>
                </w:rPr>
                <w:t>Kredītiestāžu kapitāla pietiekamības novērtēšanas procesa noteikumi</w:t>
              </w:r>
            </w:hyperlink>
            <w:r w:rsidR="004451BE" w:rsidRPr="00A26017">
              <w:rPr>
                <w:rFonts w:ascii="Times New Roman" w:hAnsi="Times New Roman" w:cs="Times New Roman"/>
                <w:sz w:val="24"/>
                <w:szCs w:val="24"/>
              </w:rPr>
              <w:t>"</w:t>
            </w:r>
            <w:r w:rsidR="004A5D13" w:rsidRPr="00A26017">
              <w:rPr>
                <w:rFonts w:ascii="Times New Roman" w:hAnsi="Times New Roman" w:cs="Times New Roman"/>
                <w:sz w:val="24"/>
                <w:szCs w:val="24"/>
              </w:rPr>
              <w:t>).</w:t>
            </w:r>
          </w:p>
        </w:tc>
      </w:tr>
      <w:tr w:rsidR="000B4E0A" w:rsidRPr="000B4E0A" w14:paraId="7452BA0B" w14:textId="77777777" w:rsidTr="00A00DBA">
        <w:trPr>
          <w:trHeight w:val="567"/>
        </w:trPr>
        <w:tc>
          <w:tcPr>
            <w:tcW w:w="1248" w:type="pct"/>
            <w:shd w:val="clear" w:color="auto" w:fill="auto"/>
            <w:hideMark/>
          </w:tcPr>
          <w:p w14:paraId="59DCD0AB" w14:textId="79317849"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 ar Eiropas Centrālo banku</w:t>
            </w:r>
          </w:p>
        </w:tc>
        <w:tc>
          <w:tcPr>
            <w:tcW w:w="3752" w:type="pct"/>
            <w:shd w:val="clear" w:color="auto" w:fill="auto"/>
          </w:tcPr>
          <w:p w14:paraId="073E1906" w14:textId="6662F736" w:rsidR="00A42788" w:rsidRPr="00AB107B" w:rsidRDefault="00F20736" w:rsidP="002D54F5">
            <w:pPr>
              <w:spacing w:after="120" w:line="240" w:lineRule="auto"/>
              <w:jc w:val="both"/>
              <w:rPr>
                <w:rFonts w:ascii="Times New Roman" w:eastAsia="Times New Roman" w:hAnsi="Times New Roman" w:cs="Times New Roman"/>
                <w:sz w:val="24"/>
                <w:szCs w:val="24"/>
                <w:lang w:eastAsia="lv-LV"/>
              </w:rPr>
            </w:pPr>
            <w:r w:rsidRPr="00F20736">
              <w:rPr>
                <w:rFonts w:ascii="Times New Roman" w:eastAsia="Times New Roman" w:hAnsi="Times New Roman" w:cs="Times New Roman"/>
                <w:sz w:val="24"/>
                <w:szCs w:val="24"/>
                <w:lang w:eastAsia="lv-LV"/>
              </w:rPr>
              <w:t>Noteikumu projekts nav jāsaskaņo ar Eiropas Centrālo banku.</w:t>
            </w:r>
          </w:p>
        </w:tc>
      </w:tr>
      <w:tr w:rsidR="000B4E0A" w:rsidRPr="000B4E0A" w14:paraId="112731BA" w14:textId="77777777" w:rsidTr="00A00DBA">
        <w:trPr>
          <w:trHeight w:val="567"/>
        </w:trPr>
        <w:tc>
          <w:tcPr>
            <w:tcW w:w="1248" w:type="pct"/>
            <w:shd w:val="clear" w:color="auto" w:fill="auto"/>
            <w:hideMark/>
          </w:tcPr>
          <w:p w14:paraId="24B8210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46D89650"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36678B6" w14:textId="36CC3A11" w:rsidR="00DD1128" w:rsidRPr="00DD1128" w:rsidRDefault="00DD1128" w:rsidP="00DD1128">
            <w:pPr>
              <w:spacing w:after="120" w:line="240" w:lineRule="auto"/>
              <w:jc w:val="both"/>
              <w:rPr>
                <w:rFonts w:ascii="Times New Roman" w:eastAsia="Times New Roman" w:hAnsi="Times New Roman" w:cs="Times New Roman"/>
                <w:sz w:val="24"/>
                <w:szCs w:val="24"/>
                <w:lang w:eastAsia="lv-LV"/>
              </w:rPr>
            </w:pPr>
            <w:r w:rsidRPr="00DD1128">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2024. gada 18. septembrī</w:t>
            </w:r>
            <w:r w:rsidRPr="00DD1128">
              <w:rPr>
                <w:rFonts w:ascii="Times New Roman" w:eastAsia="Times New Roman" w:hAnsi="Times New Roman" w:cs="Times New Roman"/>
                <w:sz w:val="24"/>
                <w:szCs w:val="24"/>
                <w:lang w:eastAsia="lv-LV"/>
              </w:rPr>
              <w:t xml:space="preserve"> tika publicēts Latvijas Bankas tīmekļvietnes www.bank.lv sadaļas "Tiesību akti" </w:t>
            </w:r>
            <w:proofErr w:type="spellStart"/>
            <w:r w:rsidRPr="00DD1128">
              <w:rPr>
                <w:rFonts w:ascii="Times New Roman" w:eastAsia="Times New Roman" w:hAnsi="Times New Roman" w:cs="Times New Roman"/>
                <w:sz w:val="24"/>
                <w:szCs w:val="24"/>
                <w:lang w:eastAsia="lv-LV"/>
              </w:rPr>
              <w:t>apakšsadaļā</w:t>
            </w:r>
            <w:proofErr w:type="spellEnd"/>
            <w:r w:rsidRPr="00DD1128">
              <w:rPr>
                <w:rFonts w:ascii="Times New Roman" w:eastAsia="Times New Roman" w:hAnsi="Times New Roman" w:cs="Times New Roman"/>
                <w:sz w:val="24"/>
                <w:szCs w:val="24"/>
                <w:lang w:eastAsia="lv-LV"/>
              </w:rPr>
              <w:t xml:space="preserve"> "Sabiedrības līdzdalība", aicinot priekšlikumus iesniegt līdz </w:t>
            </w:r>
            <w:r>
              <w:rPr>
                <w:rFonts w:ascii="Times New Roman" w:eastAsia="Times New Roman" w:hAnsi="Times New Roman" w:cs="Times New Roman"/>
                <w:sz w:val="24"/>
                <w:szCs w:val="24"/>
                <w:lang w:eastAsia="lv-LV"/>
              </w:rPr>
              <w:t xml:space="preserve">2024. gada </w:t>
            </w:r>
            <w:r w:rsidR="00343918">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w:t>
            </w:r>
            <w:r w:rsidR="00A354BF">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oktobrim</w:t>
            </w:r>
            <w:r w:rsidRPr="00DD1128">
              <w:rPr>
                <w:rFonts w:ascii="Times New Roman" w:eastAsia="Times New Roman" w:hAnsi="Times New Roman" w:cs="Times New Roman"/>
                <w:sz w:val="24"/>
                <w:szCs w:val="24"/>
                <w:lang w:eastAsia="lv-LV"/>
              </w:rPr>
              <w:t xml:space="preserve">. </w:t>
            </w:r>
          </w:p>
          <w:p w14:paraId="7E0B4371" w14:textId="35DCCB28" w:rsidR="00E53DE9" w:rsidRPr="00AB107B" w:rsidRDefault="00DD1128" w:rsidP="00CC7E25">
            <w:pPr>
              <w:spacing w:after="120" w:line="240" w:lineRule="auto"/>
              <w:jc w:val="both"/>
              <w:rPr>
                <w:rFonts w:ascii="Times New Roman" w:eastAsia="Times New Roman" w:hAnsi="Times New Roman" w:cs="Times New Roman"/>
                <w:sz w:val="24"/>
                <w:szCs w:val="24"/>
                <w:lang w:eastAsia="lv-LV"/>
              </w:rPr>
            </w:pPr>
            <w:r w:rsidRPr="00DD1128">
              <w:rPr>
                <w:rFonts w:ascii="Times New Roman" w:eastAsia="Times New Roman" w:hAnsi="Times New Roman" w:cs="Times New Roman"/>
                <w:sz w:val="24"/>
                <w:szCs w:val="24"/>
                <w:lang w:eastAsia="lv-LV"/>
              </w:rPr>
              <w:t>Vienlaikus par noteikumu projektu un notiekošo sabiedrības līdzdalību tika informēt</w:t>
            </w:r>
            <w:r>
              <w:rPr>
                <w:rFonts w:ascii="Times New Roman" w:eastAsia="Times New Roman" w:hAnsi="Times New Roman" w:cs="Times New Roman"/>
                <w:sz w:val="24"/>
                <w:szCs w:val="24"/>
                <w:lang w:eastAsia="lv-LV"/>
              </w:rPr>
              <w:t>a</w:t>
            </w:r>
            <w:r w:rsidRPr="00DD1128">
              <w:rPr>
                <w:rFonts w:ascii="Times New Roman" w:eastAsia="Times New Roman" w:hAnsi="Times New Roman" w:cs="Times New Roman"/>
                <w:sz w:val="24"/>
                <w:szCs w:val="24"/>
                <w:lang w:eastAsia="lv-LV"/>
              </w:rPr>
              <w:t xml:space="preserve"> </w:t>
            </w:r>
            <w:r w:rsidR="00F20736" w:rsidRPr="00F20736">
              <w:rPr>
                <w:rFonts w:ascii="Times New Roman" w:eastAsia="Times New Roman" w:hAnsi="Times New Roman" w:cs="Times New Roman"/>
                <w:sz w:val="24"/>
                <w:szCs w:val="24"/>
                <w:lang w:eastAsia="lv-LV"/>
              </w:rPr>
              <w:t>Latvijas Finanšu nozares asociācija un kredītiestādes, kuras nav Latvijas Finanšu nozares asociācijas biedres.</w:t>
            </w:r>
          </w:p>
        </w:tc>
      </w:tr>
      <w:tr w:rsidR="000B4E0A" w:rsidRPr="000B4E0A" w14:paraId="5A6E9DF0" w14:textId="77777777" w:rsidTr="00A00DBA">
        <w:trPr>
          <w:trHeight w:val="567"/>
        </w:trPr>
        <w:tc>
          <w:tcPr>
            <w:tcW w:w="1248" w:type="pct"/>
            <w:shd w:val="clear" w:color="auto" w:fill="auto"/>
            <w:hideMark/>
          </w:tcPr>
          <w:p w14:paraId="27AB60C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74AD3CBC"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4FFF534" w14:textId="6338A2EB" w:rsidR="00E53DE9" w:rsidRPr="00AB107B" w:rsidRDefault="00DD1128" w:rsidP="00DD1128">
            <w:pPr>
              <w:spacing w:after="120" w:line="240" w:lineRule="auto"/>
              <w:jc w:val="both"/>
              <w:rPr>
                <w:rFonts w:ascii="Times New Roman" w:eastAsia="Times New Roman" w:hAnsi="Times New Roman" w:cs="Times New Roman"/>
                <w:sz w:val="24"/>
                <w:szCs w:val="24"/>
                <w:lang w:eastAsia="lv-LV"/>
              </w:rPr>
            </w:pPr>
            <w:r w:rsidRPr="00DD1128">
              <w:rPr>
                <w:rFonts w:ascii="Times New Roman" w:eastAsia="Times New Roman" w:hAnsi="Times New Roman" w:cs="Times New Roman"/>
                <w:sz w:val="24"/>
                <w:szCs w:val="24"/>
                <w:lang w:eastAsia="lv-LV"/>
              </w:rPr>
              <w:t>Sabiedrības līdzdalības rezultātā par noteikumu projektu netika saņemti iebildumi vai priekšlikumi</w:t>
            </w:r>
            <w:r>
              <w:rPr>
                <w:rFonts w:ascii="Times New Roman" w:eastAsia="Times New Roman" w:hAnsi="Times New Roman" w:cs="Times New Roman"/>
                <w:sz w:val="24"/>
                <w:szCs w:val="24"/>
                <w:lang w:eastAsia="lv-LV"/>
              </w:rPr>
              <w:t>.</w:t>
            </w:r>
          </w:p>
        </w:tc>
      </w:tr>
    </w:tbl>
    <w:p w14:paraId="07F9B713" w14:textId="6329E8E2" w:rsidR="00117AEB" w:rsidRDefault="00117AEB" w:rsidP="0049248A">
      <w:pPr>
        <w:spacing w:after="0" w:line="240" w:lineRule="auto"/>
        <w:rPr>
          <w:rFonts w:ascii="Times New Roman" w:hAnsi="Times New Roman" w:cs="Times New Roman"/>
          <w:sz w:val="24"/>
          <w:szCs w:val="24"/>
        </w:rPr>
      </w:pPr>
    </w:p>
    <w:p w14:paraId="59D81991" w14:textId="77777777" w:rsidR="00117AEB" w:rsidRDefault="00117AEB">
      <w:pPr>
        <w:rPr>
          <w:rFonts w:ascii="Times New Roman" w:hAnsi="Times New Roman" w:cs="Times New Roman"/>
          <w:sz w:val="24"/>
          <w:szCs w:val="24"/>
        </w:rPr>
      </w:pPr>
      <w:r>
        <w:rPr>
          <w:rFonts w:ascii="Times New Roman" w:hAnsi="Times New Roman" w:cs="Times New Roman"/>
          <w:sz w:val="24"/>
          <w:szCs w:val="24"/>
        </w:rPr>
        <w:br w:type="page"/>
      </w:r>
    </w:p>
    <w:p w14:paraId="0D06FF50" w14:textId="77777777" w:rsidR="00117AEB" w:rsidRDefault="00117AEB" w:rsidP="00117AEB">
      <w:pPr>
        <w:jc w:val="right"/>
        <w:rPr>
          <w:rFonts w:ascii="Times New Roman" w:hAnsi="Times New Roman" w:cs="Times New Roman"/>
          <w:sz w:val="24"/>
          <w:szCs w:val="24"/>
        </w:rPr>
        <w:sectPr w:rsidR="00117AEB" w:rsidSect="007E313B">
          <w:headerReference w:type="default" r:id="rId26"/>
          <w:pgSz w:w="11906" w:h="16838" w:code="9"/>
          <w:pgMar w:top="1134" w:right="1134" w:bottom="1134" w:left="1701" w:header="708" w:footer="708" w:gutter="0"/>
          <w:cols w:space="708"/>
          <w:titlePg/>
          <w:docGrid w:linePitch="360"/>
        </w:sectPr>
      </w:pPr>
    </w:p>
    <w:p w14:paraId="0A5986D9" w14:textId="77777777" w:rsidR="00117AEB" w:rsidRPr="00117AEB" w:rsidRDefault="00117AEB" w:rsidP="00117AEB">
      <w:pPr>
        <w:spacing w:after="0" w:line="240" w:lineRule="auto"/>
        <w:jc w:val="right"/>
        <w:rPr>
          <w:rFonts w:ascii="Times New Roman" w:hAnsi="Times New Roman" w:cs="Times New Roman"/>
          <w:sz w:val="24"/>
          <w:szCs w:val="24"/>
        </w:rPr>
      </w:pPr>
      <w:r w:rsidRPr="00117AEB">
        <w:rPr>
          <w:rFonts w:ascii="Times New Roman" w:hAnsi="Times New Roman" w:cs="Times New Roman"/>
          <w:sz w:val="24"/>
          <w:szCs w:val="24"/>
        </w:rPr>
        <w:lastRenderedPageBreak/>
        <w:t>Pielikums</w:t>
      </w:r>
    </w:p>
    <w:p w14:paraId="2796DE71" w14:textId="77777777" w:rsidR="00117AEB" w:rsidRPr="00117AEB" w:rsidRDefault="00117AEB" w:rsidP="00117AEB">
      <w:pPr>
        <w:spacing w:after="0" w:line="240" w:lineRule="auto"/>
        <w:jc w:val="right"/>
        <w:rPr>
          <w:rFonts w:ascii="Times New Roman" w:hAnsi="Times New Roman" w:cs="Times New Roman"/>
          <w:sz w:val="24"/>
          <w:szCs w:val="24"/>
        </w:rPr>
      </w:pPr>
      <w:r w:rsidRPr="00117AEB">
        <w:rPr>
          <w:rFonts w:ascii="Times New Roman" w:hAnsi="Times New Roman" w:cs="Times New Roman"/>
          <w:sz w:val="24"/>
          <w:szCs w:val="24"/>
        </w:rPr>
        <w:t>Latvijas Bankas noteikumu projekta anotācijai</w:t>
      </w:r>
    </w:p>
    <w:p w14:paraId="61E063F3" w14:textId="77777777" w:rsidR="00117AEB" w:rsidRPr="00117AEB" w:rsidRDefault="00117AEB" w:rsidP="00117AEB">
      <w:pPr>
        <w:spacing w:after="0" w:line="240" w:lineRule="auto"/>
        <w:jc w:val="right"/>
        <w:rPr>
          <w:rFonts w:ascii="Times New Roman" w:hAnsi="Times New Roman" w:cs="Times New Roman"/>
          <w:sz w:val="24"/>
          <w:szCs w:val="24"/>
        </w:rPr>
      </w:pPr>
    </w:p>
    <w:p w14:paraId="78674561" w14:textId="77777777" w:rsidR="00117AEB" w:rsidRPr="00117AEB" w:rsidRDefault="00117AEB" w:rsidP="00117AEB">
      <w:pPr>
        <w:spacing w:after="0" w:line="240" w:lineRule="auto"/>
        <w:jc w:val="right"/>
        <w:rPr>
          <w:rFonts w:ascii="Times New Roman" w:hAnsi="Times New Roman" w:cs="Times New Roman"/>
          <w:sz w:val="24"/>
          <w:szCs w:val="24"/>
        </w:rPr>
      </w:pPr>
    </w:p>
    <w:p w14:paraId="2CDD8DDB" w14:textId="77777777" w:rsidR="00117AEB" w:rsidRPr="00117AEB" w:rsidRDefault="00117AEB" w:rsidP="00117AEB">
      <w:pPr>
        <w:spacing w:after="0" w:line="240" w:lineRule="auto"/>
        <w:jc w:val="center"/>
        <w:rPr>
          <w:rFonts w:ascii="Times New Roman" w:hAnsi="Times New Roman" w:cs="Times New Roman"/>
          <w:b/>
          <w:sz w:val="24"/>
          <w:szCs w:val="24"/>
        </w:rPr>
      </w:pPr>
      <w:r w:rsidRPr="00117AEB">
        <w:rPr>
          <w:rFonts w:ascii="Times New Roman" w:hAnsi="Times New Roman" w:cs="Times New Roman"/>
          <w:b/>
          <w:sz w:val="24"/>
          <w:szCs w:val="24"/>
        </w:rPr>
        <w:t>Eiropas Savienības tiesību aktu pārņemšanas/ieviešanas tabula</w:t>
      </w:r>
    </w:p>
    <w:p w14:paraId="3BF49ED6" w14:textId="77777777" w:rsidR="00117AEB" w:rsidRPr="00117AEB" w:rsidRDefault="00117AEB" w:rsidP="00117AEB">
      <w:pPr>
        <w:spacing w:after="0" w:line="240" w:lineRule="auto"/>
        <w:rPr>
          <w:rFonts w:ascii="Times New Roman" w:hAnsi="Times New Roman" w:cs="Times New Roman"/>
          <w:b/>
          <w:sz w:val="24"/>
          <w:szCs w:val="24"/>
        </w:rPr>
      </w:pPr>
    </w:p>
    <w:p w14:paraId="327E4FA2" w14:textId="340BE246" w:rsidR="00117AEB" w:rsidRPr="00117AEB" w:rsidRDefault="00117AEB" w:rsidP="00117AEB">
      <w:pPr>
        <w:spacing w:after="0" w:line="240" w:lineRule="auto"/>
        <w:jc w:val="both"/>
        <w:rPr>
          <w:rFonts w:ascii="Times New Roman" w:hAnsi="Times New Roman" w:cs="Times New Roman"/>
          <w:b/>
          <w:sz w:val="24"/>
          <w:szCs w:val="24"/>
        </w:rPr>
      </w:pPr>
      <w:r w:rsidRPr="00117AEB">
        <w:rPr>
          <w:rFonts w:ascii="Times New Roman" w:hAnsi="Times New Roman" w:cs="Times New Roman"/>
          <w:b/>
          <w:sz w:val="24"/>
          <w:szCs w:val="24"/>
        </w:rPr>
        <w:t>Latvijas Bankas noteikumu projekta nosaukums:</w:t>
      </w:r>
      <w:r w:rsidRPr="00117AEB">
        <w:rPr>
          <w:rFonts w:ascii="Times New Roman" w:hAnsi="Times New Roman" w:cs="Times New Roman"/>
          <w:bCs/>
          <w:sz w:val="24"/>
          <w:szCs w:val="24"/>
        </w:rPr>
        <w:t xml:space="preserve"> </w:t>
      </w:r>
      <w:r w:rsidR="00CC7E25">
        <w:rPr>
          <w:rFonts w:ascii="Times New Roman" w:hAnsi="Times New Roman" w:cs="Times New Roman"/>
          <w:bCs/>
          <w:sz w:val="24"/>
          <w:szCs w:val="24"/>
        </w:rPr>
        <w:t>"</w:t>
      </w:r>
      <w:r w:rsidR="007A3DBA">
        <w:rPr>
          <w:rFonts w:ascii="Times New Roman" w:eastAsia="Times New Roman" w:hAnsi="Times New Roman" w:cs="Times New Roman"/>
          <w:sz w:val="24"/>
          <w:szCs w:val="24"/>
          <w:lang w:eastAsia="lv-LV"/>
        </w:rPr>
        <w:t>Kredītiestāžu l</w:t>
      </w:r>
      <w:r w:rsidR="007A3DBA" w:rsidRPr="00B041A2">
        <w:rPr>
          <w:rFonts w:ascii="Times New Roman" w:eastAsia="Times New Roman" w:hAnsi="Times New Roman" w:cs="Times New Roman"/>
          <w:sz w:val="24"/>
          <w:szCs w:val="24"/>
          <w:lang w:eastAsia="lv-LV"/>
        </w:rPr>
        <w:t>ikviditātes riska pārvaldīšanas un likviditātes pietiekamības novērtēšanas procesa</w:t>
      </w:r>
      <w:r w:rsidRPr="00117AEB">
        <w:rPr>
          <w:rFonts w:ascii="Times New Roman" w:hAnsi="Times New Roman" w:cs="Times New Roman"/>
          <w:bCs/>
          <w:sz w:val="24"/>
          <w:szCs w:val="24"/>
        </w:rPr>
        <w:t xml:space="preserve"> noteikumi</w:t>
      </w:r>
      <w:r w:rsidR="00CC7E25">
        <w:rPr>
          <w:rFonts w:ascii="Times New Roman" w:hAnsi="Times New Roman" w:cs="Times New Roman"/>
          <w:bCs/>
          <w:sz w:val="24"/>
          <w:szCs w:val="24"/>
        </w:rPr>
        <w:t>"</w:t>
      </w:r>
      <w:r w:rsidRPr="00117AEB">
        <w:rPr>
          <w:rFonts w:ascii="Times New Roman" w:hAnsi="Times New Roman" w:cs="Times New Roman"/>
          <w:bCs/>
          <w:sz w:val="24"/>
          <w:szCs w:val="24"/>
        </w:rPr>
        <w:t xml:space="preserve"> (turpmāk</w:t>
      </w:r>
      <w:r w:rsidR="00CF7D64">
        <w:rPr>
          <w:rFonts w:ascii="Times New Roman" w:hAnsi="Times New Roman" w:cs="Times New Roman"/>
          <w:bCs/>
          <w:sz w:val="24"/>
          <w:szCs w:val="24"/>
        </w:rPr>
        <w:t> </w:t>
      </w:r>
      <w:r w:rsidRPr="00117AEB">
        <w:rPr>
          <w:rFonts w:ascii="Times New Roman" w:hAnsi="Times New Roman" w:cs="Times New Roman"/>
          <w:bCs/>
          <w:sz w:val="24"/>
          <w:szCs w:val="24"/>
        </w:rPr>
        <w:t>– projekts)</w:t>
      </w:r>
    </w:p>
    <w:p w14:paraId="32C1D62A" w14:textId="77777777" w:rsidR="00117AEB" w:rsidRPr="00117AEB" w:rsidRDefault="00117AEB" w:rsidP="00117AEB">
      <w:pPr>
        <w:spacing w:after="0" w:line="240" w:lineRule="auto"/>
        <w:rPr>
          <w:rFonts w:ascii="Times New Roman" w:hAnsi="Times New Roman" w:cs="Times New Roman"/>
          <w:b/>
          <w:sz w:val="24"/>
          <w:szCs w:val="24"/>
        </w:rPr>
      </w:pPr>
    </w:p>
    <w:p w14:paraId="50C14F67" w14:textId="77777777" w:rsidR="00EF13B5" w:rsidRDefault="00117AEB" w:rsidP="00117AEB">
      <w:pPr>
        <w:spacing w:after="0" w:line="240" w:lineRule="auto"/>
        <w:jc w:val="both"/>
        <w:rPr>
          <w:rFonts w:ascii="Times New Roman" w:hAnsi="Times New Roman" w:cs="Times New Roman"/>
          <w:bCs/>
          <w:sz w:val="24"/>
          <w:szCs w:val="24"/>
        </w:rPr>
      </w:pPr>
      <w:r w:rsidRPr="00117AEB">
        <w:rPr>
          <w:rFonts w:ascii="Times New Roman" w:hAnsi="Times New Roman" w:cs="Times New Roman"/>
          <w:b/>
          <w:sz w:val="24"/>
          <w:szCs w:val="24"/>
        </w:rPr>
        <w:t>Eiropas Savienības tiesību akta nosaukums:</w:t>
      </w:r>
      <w:r w:rsidRPr="00117AEB">
        <w:rPr>
          <w:rFonts w:ascii="Times New Roman" w:hAnsi="Times New Roman" w:cs="Times New Roman"/>
          <w:bCs/>
          <w:sz w:val="24"/>
          <w:szCs w:val="24"/>
        </w:rPr>
        <w:t xml:space="preserve"> </w:t>
      </w:r>
    </w:p>
    <w:p w14:paraId="214C7E79" w14:textId="68212CBD" w:rsidR="00EF13B5" w:rsidRDefault="00EF13B5" w:rsidP="00117AE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117AEB" w:rsidRPr="00117AEB">
        <w:rPr>
          <w:rFonts w:ascii="Times New Roman" w:hAnsi="Times New Roman" w:cs="Times New Roman"/>
          <w:bCs/>
          <w:sz w:val="24"/>
          <w:szCs w:val="24"/>
        </w:rPr>
        <w:t>Eiropas Parlamenta un Padomes 2013. gada 26. jūnija</w:t>
      </w:r>
      <w:r w:rsidR="00E14192">
        <w:rPr>
          <w:rFonts w:ascii="Times New Roman" w:hAnsi="Times New Roman" w:cs="Times New Roman"/>
          <w:bCs/>
          <w:sz w:val="24"/>
          <w:szCs w:val="24"/>
        </w:rPr>
        <w:t xml:space="preserve"> </w:t>
      </w:r>
      <w:r w:rsidR="00117AEB" w:rsidRPr="00117AEB">
        <w:rPr>
          <w:rFonts w:ascii="Times New Roman" w:hAnsi="Times New Roman" w:cs="Times New Roman"/>
          <w:bCs/>
          <w:sz w:val="24"/>
          <w:szCs w:val="24"/>
        </w:rPr>
        <w:t>direktīva</w:t>
      </w:r>
      <w:r w:rsidR="00CF7D64">
        <w:rPr>
          <w:rFonts w:ascii="Times New Roman" w:hAnsi="Times New Roman" w:cs="Times New Roman"/>
          <w:bCs/>
          <w:sz w:val="24"/>
          <w:szCs w:val="24"/>
        </w:rPr>
        <w:t> </w:t>
      </w:r>
      <w:r w:rsidR="00117AEB" w:rsidRPr="00117AEB">
        <w:rPr>
          <w:rFonts w:ascii="Times New Roman" w:hAnsi="Times New Roman" w:cs="Times New Roman"/>
          <w:bCs/>
          <w:sz w:val="24"/>
          <w:szCs w:val="24"/>
        </w:rPr>
        <w:t>2013/36/ES par piekļuvi kredītiestāžu darbībai un kredītiestāžu prudenciālo uzraudzību, ar ko groza direktīvu</w:t>
      </w:r>
      <w:r w:rsidR="00CF7D64">
        <w:rPr>
          <w:rFonts w:ascii="Times New Roman" w:hAnsi="Times New Roman" w:cs="Times New Roman"/>
          <w:bCs/>
          <w:sz w:val="24"/>
          <w:szCs w:val="24"/>
        </w:rPr>
        <w:t> </w:t>
      </w:r>
      <w:r w:rsidR="00117AEB" w:rsidRPr="00117AEB">
        <w:rPr>
          <w:rFonts w:ascii="Times New Roman" w:hAnsi="Times New Roman" w:cs="Times New Roman"/>
          <w:bCs/>
          <w:sz w:val="24"/>
          <w:szCs w:val="24"/>
        </w:rPr>
        <w:t>2002/87/EK un atceļ direktīvas</w:t>
      </w:r>
      <w:r w:rsidR="00E14192">
        <w:rPr>
          <w:rFonts w:ascii="Times New Roman" w:hAnsi="Times New Roman" w:cs="Times New Roman"/>
          <w:bCs/>
          <w:sz w:val="24"/>
          <w:szCs w:val="24"/>
        </w:rPr>
        <w:t> </w:t>
      </w:r>
      <w:r w:rsidR="00117AEB" w:rsidRPr="00117AEB">
        <w:rPr>
          <w:rFonts w:ascii="Times New Roman" w:hAnsi="Times New Roman" w:cs="Times New Roman"/>
          <w:bCs/>
          <w:sz w:val="24"/>
          <w:szCs w:val="24"/>
        </w:rPr>
        <w:t>2006/48/EK un 2006/49/EK</w:t>
      </w:r>
      <w:r w:rsidR="00117AEB" w:rsidRPr="00117AEB" w:rsidDel="00426B96">
        <w:rPr>
          <w:rFonts w:ascii="Times New Roman" w:hAnsi="Times New Roman" w:cs="Times New Roman"/>
          <w:bCs/>
          <w:sz w:val="24"/>
          <w:szCs w:val="24"/>
        </w:rPr>
        <w:t xml:space="preserve"> </w:t>
      </w:r>
      <w:r w:rsidR="00117AEB" w:rsidRPr="00117AEB">
        <w:rPr>
          <w:rFonts w:ascii="Times New Roman" w:hAnsi="Times New Roman" w:cs="Times New Roman"/>
          <w:bCs/>
          <w:sz w:val="24"/>
          <w:szCs w:val="24"/>
        </w:rPr>
        <w:t>(turpmāk</w:t>
      </w:r>
      <w:r w:rsidR="00E14192">
        <w:rPr>
          <w:rFonts w:ascii="Times New Roman" w:hAnsi="Times New Roman" w:cs="Times New Roman"/>
          <w:bCs/>
          <w:sz w:val="24"/>
          <w:szCs w:val="24"/>
        </w:rPr>
        <w:t> </w:t>
      </w:r>
      <w:r w:rsidR="00117AEB" w:rsidRPr="00117AEB">
        <w:rPr>
          <w:rFonts w:ascii="Times New Roman" w:hAnsi="Times New Roman" w:cs="Times New Roman"/>
          <w:bCs/>
          <w:sz w:val="24"/>
          <w:szCs w:val="24"/>
        </w:rPr>
        <w:t>– Direktīva</w:t>
      </w:r>
      <w:r w:rsidR="00CF7D64">
        <w:rPr>
          <w:rFonts w:ascii="Times New Roman" w:hAnsi="Times New Roman" w:cs="Times New Roman"/>
          <w:bCs/>
          <w:sz w:val="24"/>
          <w:szCs w:val="24"/>
        </w:rPr>
        <w:t> </w:t>
      </w:r>
      <w:r w:rsidR="00117AEB" w:rsidRPr="00117AEB">
        <w:rPr>
          <w:rFonts w:ascii="Times New Roman" w:hAnsi="Times New Roman" w:cs="Times New Roman"/>
          <w:bCs/>
          <w:sz w:val="24"/>
          <w:szCs w:val="24"/>
        </w:rPr>
        <w:t>2013/36)</w:t>
      </w:r>
      <w:r>
        <w:rPr>
          <w:rFonts w:ascii="Times New Roman" w:hAnsi="Times New Roman" w:cs="Times New Roman"/>
          <w:bCs/>
          <w:sz w:val="24"/>
          <w:szCs w:val="24"/>
        </w:rPr>
        <w:t>;</w:t>
      </w:r>
    </w:p>
    <w:p w14:paraId="4E799012" w14:textId="4841A2EB" w:rsidR="00EF13B5" w:rsidRPr="00117AEB" w:rsidRDefault="00EF13B5" w:rsidP="00117AE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EF13B5">
        <w:rPr>
          <w:rFonts w:ascii="Times New Roman" w:hAnsi="Times New Roman" w:cs="Times New Roman"/>
          <w:bCs/>
          <w:sz w:val="24"/>
          <w:szCs w:val="24"/>
        </w:rPr>
        <w:t>Eiropas Parlamenta un Padomes 2019.</w:t>
      </w:r>
      <w:r w:rsidR="00CF7D64">
        <w:rPr>
          <w:rFonts w:ascii="Times New Roman" w:hAnsi="Times New Roman" w:cs="Times New Roman"/>
          <w:bCs/>
          <w:sz w:val="24"/>
          <w:szCs w:val="24"/>
        </w:rPr>
        <w:t> </w:t>
      </w:r>
      <w:r w:rsidRPr="00EF13B5">
        <w:rPr>
          <w:rFonts w:ascii="Times New Roman" w:hAnsi="Times New Roman" w:cs="Times New Roman"/>
          <w:bCs/>
          <w:sz w:val="24"/>
          <w:szCs w:val="24"/>
        </w:rPr>
        <w:t>gada 27.</w:t>
      </w:r>
      <w:r w:rsidR="00CF7D64">
        <w:rPr>
          <w:rFonts w:ascii="Times New Roman" w:hAnsi="Times New Roman" w:cs="Times New Roman"/>
          <w:bCs/>
          <w:sz w:val="24"/>
          <w:szCs w:val="24"/>
        </w:rPr>
        <w:t> </w:t>
      </w:r>
      <w:r w:rsidRPr="00EF13B5">
        <w:rPr>
          <w:rFonts w:ascii="Times New Roman" w:hAnsi="Times New Roman" w:cs="Times New Roman"/>
          <w:bCs/>
          <w:sz w:val="24"/>
          <w:szCs w:val="24"/>
        </w:rPr>
        <w:t>novembra direktīva</w:t>
      </w:r>
      <w:r>
        <w:rPr>
          <w:rFonts w:ascii="Times New Roman" w:hAnsi="Times New Roman" w:cs="Times New Roman"/>
          <w:bCs/>
          <w:sz w:val="24"/>
          <w:szCs w:val="24"/>
        </w:rPr>
        <w:t xml:space="preserve"> </w:t>
      </w:r>
      <w:r w:rsidRPr="00EF13B5">
        <w:rPr>
          <w:rFonts w:ascii="Times New Roman" w:hAnsi="Times New Roman" w:cs="Times New Roman"/>
          <w:bCs/>
          <w:sz w:val="24"/>
          <w:szCs w:val="24"/>
        </w:rPr>
        <w:t>(ES)</w:t>
      </w:r>
      <w:r w:rsidR="00CF7D64">
        <w:rPr>
          <w:rFonts w:ascii="Times New Roman" w:hAnsi="Times New Roman" w:cs="Times New Roman"/>
          <w:bCs/>
          <w:sz w:val="24"/>
          <w:szCs w:val="24"/>
        </w:rPr>
        <w:t> </w:t>
      </w:r>
      <w:r w:rsidRPr="00EF13B5">
        <w:rPr>
          <w:rFonts w:ascii="Times New Roman" w:hAnsi="Times New Roman" w:cs="Times New Roman"/>
          <w:bCs/>
          <w:sz w:val="24"/>
          <w:szCs w:val="24"/>
        </w:rPr>
        <w:t>2019/2034 par ieguldījumu brokeru sabiedrību prudenciālo uzraudzību un ar ko groza direktīvas</w:t>
      </w:r>
      <w:r w:rsidR="00CF7D64">
        <w:rPr>
          <w:rFonts w:ascii="Times New Roman" w:hAnsi="Times New Roman" w:cs="Times New Roman"/>
          <w:bCs/>
          <w:sz w:val="24"/>
          <w:szCs w:val="24"/>
        </w:rPr>
        <w:t> </w:t>
      </w:r>
      <w:r w:rsidRPr="00EF13B5">
        <w:rPr>
          <w:rFonts w:ascii="Times New Roman" w:hAnsi="Times New Roman" w:cs="Times New Roman"/>
          <w:bCs/>
          <w:sz w:val="24"/>
          <w:szCs w:val="24"/>
        </w:rPr>
        <w:t>2002/87/EK, 2009/65/EK, 2011/61/ES, 2013/36/ES, 2014/59/ES un 2014/65/ES</w:t>
      </w:r>
      <w:r>
        <w:rPr>
          <w:rFonts w:ascii="Times New Roman" w:hAnsi="Times New Roman" w:cs="Times New Roman"/>
          <w:bCs/>
          <w:sz w:val="24"/>
          <w:szCs w:val="24"/>
        </w:rPr>
        <w:t xml:space="preserve"> (turpmāk – Direktīva</w:t>
      </w:r>
      <w:r w:rsidR="00CF7D64">
        <w:rPr>
          <w:rFonts w:ascii="Times New Roman" w:hAnsi="Times New Roman" w:cs="Times New Roman"/>
          <w:bCs/>
          <w:sz w:val="24"/>
          <w:szCs w:val="24"/>
        </w:rPr>
        <w:t> </w:t>
      </w:r>
      <w:r w:rsidRPr="00EF13B5">
        <w:rPr>
          <w:rFonts w:ascii="Times New Roman" w:hAnsi="Times New Roman" w:cs="Times New Roman"/>
          <w:bCs/>
          <w:sz w:val="24"/>
          <w:szCs w:val="24"/>
        </w:rPr>
        <w:t>2019/2034</w:t>
      </w:r>
      <w:r>
        <w:rPr>
          <w:rFonts w:ascii="Times New Roman" w:hAnsi="Times New Roman" w:cs="Times New Roman"/>
          <w:bCs/>
          <w:sz w:val="24"/>
          <w:szCs w:val="24"/>
        </w:rPr>
        <w:t>)</w:t>
      </w:r>
    </w:p>
    <w:p w14:paraId="6670163D" w14:textId="77777777" w:rsidR="00117AEB" w:rsidRPr="00117AEB" w:rsidRDefault="00117AEB" w:rsidP="00117AEB">
      <w:pPr>
        <w:spacing w:after="0" w:line="240" w:lineRule="auto"/>
        <w:rPr>
          <w:rFonts w:ascii="Times New Roman" w:hAnsi="Times New Roman" w:cs="Times New Roman"/>
          <w:b/>
          <w:sz w:val="24"/>
          <w:szCs w:val="24"/>
        </w:rPr>
      </w:pPr>
    </w:p>
    <w:tbl>
      <w:tblPr>
        <w:tblStyle w:val="TableGrid"/>
        <w:tblW w:w="14628" w:type="dxa"/>
        <w:tblLook w:val="04A0" w:firstRow="1" w:lastRow="0" w:firstColumn="1" w:lastColumn="0" w:noHBand="0" w:noVBand="1"/>
      </w:tblPr>
      <w:tblGrid>
        <w:gridCol w:w="2438"/>
        <w:gridCol w:w="2438"/>
        <w:gridCol w:w="2438"/>
        <w:gridCol w:w="2438"/>
        <w:gridCol w:w="2438"/>
        <w:gridCol w:w="2438"/>
      </w:tblGrid>
      <w:tr w:rsidR="00117AEB" w:rsidRPr="00117AEB" w14:paraId="22F1BF95" w14:textId="77777777" w:rsidTr="00DC1299">
        <w:tc>
          <w:tcPr>
            <w:tcW w:w="2438" w:type="dxa"/>
          </w:tcPr>
          <w:p w14:paraId="7511FCBF" w14:textId="77777777" w:rsidR="00117AEB" w:rsidRPr="00117AEB" w:rsidRDefault="00117AEB" w:rsidP="003548B7">
            <w:pPr>
              <w:jc w:val="center"/>
              <w:rPr>
                <w:color w:val="auto"/>
                <w:sz w:val="24"/>
                <w:szCs w:val="24"/>
              </w:rPr>
            </w:pPr>
            <w:r w:rsidRPr="00117AEB">
              <w:rPr>
                <w:b/>
                <w:bCs/>
                <w:color w:val="auto"/>
                <w:sz w:val="24"/>
                <w:szCs w:val="24"/>
              </w:rPr>
              <w:t xml:space="preserve">Eiropas Savienības tiesību akta pants, punkts vai apakšpunkts, kurā paredzētās prasības Latvijā jāizpilda </w:t>
            </w:r>
            <w:r w:rsidRPr="00117AEB">
              <w:rPr>
                <w:i/>
                <w:iCs/>
                <w:color w:val="auto"/>
                <w:sz w:val="24"/>
                <w:szCs w:val="24"/>
              </w:rPr>
              <w:t>(Norāda pēc iespējas konkrētāku teksta vienību)</w:t>
            </w:r>
          </w:p>
        </w:tc>
        <w:tc>
          <w:tcPr>
            <w:tcW w:w="2438" w:type="dxa"/>
          </w:tcPr>
          <w:p w14:paraId="4E1A1C61" w14:textId="7DD565EF" w:rsidR="00117AEB" w:rsidRPr="00117AEB" w:rsidRDefault="00117AEB" w:rsidP="003548B7">
            <w:pPr>
              <w:jc w:val="center"/>
              <w:rPr>
                <w:b/>
                <w:bCs/>
                <w:color w:val="auto"/>
                <w:sz w:val="24"/>
                <w:szCs w:val="24"/>
              </w:rPr>
            </w:pPr>
            <w:r w:rsidRPr="00117AEB">
              <w:rPr>
                <w:b/>
                <w:bCs/>
                <w:color w:val="auto"/>
                <w:sz w:val="24"/>
                <w:szCs w:val="24"/>
              </w:rPr>
              <w:t>Projekta punkts vai apakšpunkts, kas izpilda A ailē minēto prasību</w:t>
            </w:r>
          </w:p>
          <w:p w14:paraId="5ABF8BC7" w14:textId="77777777" w:rsidR="00117AEB" w:rsidRPr="00117AEB" w:rsidRDefault="00117AEB" w:rsidP="003548B7">
            <w:pPr>
              <w:jc w:val="center"/>
              <w:rPr>
                <w:b/>
                <w:bCs/>
                <w:color w:val="auto"/>
                <w:sz w:val="24"/>
                <w:szCs w:val="24"/>
              </w:rPr>
            </w:pPr>
            <w:r w:rsidRPr="00117AEB">
              <w:rPr>
                <w:i/>
                <w:iCs/>
                <w:color w:val="auto"/>
                <w:sz w:val="24"/>
                <w:szCs w:val="24"/>
              </w:rPr>
              <w:t>(Norāda pēc iespējas konkrētāku teksta vienību)</w:t>
            </w:r>
          </w:p>
        </w:tc>
        <w:tc>
          <w:tcPr>
            <w:tcW w:w="2438" w:type="dxa"/>
          </w:tcPr>
          <w:p w14:paraId="016249A2" w14:textId="7EB49009" w:rsidR="00117AEB" w:rsidRPr="00117AEB" w:rsidRDefault="00117AEB" w:rsidP="003548B7">
            <w:pPr>
              <w:jc w:val="center"/>
              <w:rPr>
                <w:b/>
                <w:bCs/>
                <w:color w:val="auto"/>
                <w:sz w:val="24"/>
                <w:szCs w:val="24"/>
              </w:rPr>
            </w:pPr>
            <w:r w:rsidRPr="00117AEB">
              <w:rPr>
                <w:b/>
                <w:bCs/>
                <w:color w:val="auto"/>
                <w:sz w:val="24"/>
                <w:szCs w:val="24"/>
              </w:rPr>
              <w:t>Vai A ailē minētā prasība ar B ailē minēto projekta punktu vai apakšpunktu tiek izpildīta pilnībā vai daļēji?</w:t>
            </w:r>
          </w:p>
          <w:p w14:paraId="32AF7464" w14:textId="77777777" w:rsidR="00117AEB" w:rsidRPr="00117AEB" w:rsidRDefault="00117AEB" w:rsidP="003548B7">
            <w:pPr>
              <w:jc w:val="center"/>
              <w:rPr>
                <w:b/>
                <w:bCs/>
                <w:color w:val="auto"/>
                <w:sz w:val="24"/>
                <w:szCs w:val="24"/>
              </w:rPr>
            </w:pPr>
            <w:r w:rsidRPr="00117AEB">
              <w:rPr>
                <w:i/>
                <w:iCs/>
                <w:color w:val="auto"/>
                <w:sz w:val="24"/>
                <w:szCs w:val="24"/>
              </w:rPr>
              <w:t>(Ja daļēji, norāda, kur un kā ir vai tiks nodrošināta prasības pilnīga izpilde)</w:t>
            </w:r>
          </w:p>
        </w:tc>
        <w:tc>
          <w:tcPr>
            <w:tcW w:w="2438" w:type="dxa"/>
          </w:tcPr>
          <w:p w14:paraId="1010DE13" w14:textId="2486583E" w:rsidR="00117AEB" w:rsidRPr="00117AEB" w:rsidRDefault="00117AEB" w:rsidP="003548B7">
            <w:pPr>
              <w:jc w:val="center"/>
              <w:rPr>
                <w:b/>
                <w:bCs/>
                <w:color w:val="auto"/>
                <w:sz w:val="24"/>
                <w:szCs w:val="24"/>
              </w:rPr>
            </w:pPr>
            <w:r w:rsidRPr="00117AEB">
              <w:rPr>
                <w:b/>
                <w:bCs/>
                <w:color w:val="auto"/>
                <w:sz w:val="24"/>
                <w:szCs w:val="24"/>
              </w:rPr>
              <w:t>Vai B ailē norādītais projekta punkts vai apakšpunkts paredz stingrākas prasības nekā A ailē minētā prasība</w:t>
            </w:r>
            <w:r w:rsidR="00CF7D64">
              <w:rPr>
                <w:b/>
                <w:bCs/>
                <w:color w:val="auto"/>
                <w:sz w:val="24"/>
                <w:szCs w:val="24"/>
              </w:rPr>
              <w:t>?</w:t>
            </w:r>
          </w:p>
          <w:p w14:paraId="7224314A" w14:textId="77777777" w:rsidR="00117AEB" w:rsidRPr="00117AEB" w:rsidRDefault="00117AEB" w:rsidP="003548B7">
            <w:pPr>
              <w:jc w:val="center"/>
              <w:rPr>
                <w:b/>
                <w:bCs/>
                <w:color w:val="auto"/>
                <w:sz w:val="24"/>
                <w:szCs w:val="24"/>
              </w:rPr>
            </w:pPr>
            <w:r w:rsidRPr="00117AEB">
              <w:rPr>
                <w:i/>
                <w:iCs/>
                <w:color w:val="auto"/>
                <w:sz w:val="24"/>
                <w:szCs w:val="24"/>
              </w:rPr>
              <w:t>(Ja paredz stingrākas prasības, norāda pamatojumu šādu stingrāku prasību nepieciešamībai)</w:t>
            </w:r>
          </w:p>
        </w:tc>
        <w:tc>
          <w:tcPr>
            <w:tcW w:w="2438" w:type="dxa"/>
          </w:tcPr>
          <w:p w14:paraId="7183D6C8" w14:textId="493BE8BD" w:rsidR="00117AEB" w:rsidRPr="00117AEB" w:rsidRDefault="00117AEB" w:rsidP="003548B7">
            <w:pPr>
              <w:jc w:val="center"/>
              <w:rPr>
                <w:b/>
                <w:bCs/>
                <w:color w:val="auto"/>
                <w:sz w:val="24"/>
                <w:szCs w:val="24"/>
              </w:rPr>
            </w:pPr>
            <w:r w:rsidRPr="00117AEB">
              <w:rPr>
                <w:b/>
                <w:bCs/>
                <w:color w:val="auto"/>
                <w:sz w:val="24"/>
                <w:szCs w:val="24"/>
              </w:rPr>
              <w:t>Vai A ailē minētā prasība ir jāizpilda obligāti?</w:t>
            </w:r>
          </w:p>
          <w:p w14:paraId="69D3B8A8" w14:textId="77777777" w:rsidR="00117AEB" w:rsidRPr="00117AEB" w:rsidRDefault="00117AEB" w:rsidP="003548B7">
            <w:pPr>
              <w:jc w:val="center"/>
              <w:rPr>
                <w:i/>
                <w:iCs/>
                <w:color w:val="auto"/>
                <w:sz w:val="24"/>
                <w:szCs w:val="24"/>
              </w:rPr>
            </w:pPr>
            <w:r w:rsidRPr="00117AEB">
              <w:rPr>
                <w:i/>
                <w:iCs/>
                <w:color w:val="auto"/>
                <w:sz w:val="24"/>
                <w:szCs w:val="24"/>
              </w:rPr>
              <w:t>(Ja Eiropas Savienības tiesību akts paredz izvēles iespēju, norāda, vai un kādēļ šī rīcības brīvība Latvijā ir vai nav jāizmanto)</w:t>
            </w:r>
          </w:p>
          <w:p w14:paraId="7A5FE490" w14:textId="77777777" w:rsidR="00117AEB" w:rsidRPr="00117AEB" w:rsidRDefault="00117AEB" w:rsidP="003548B7">
            <w:pPr>
              <w:jc w:val="center"/>
              <w:rPr>
                <w:b/>
                <w:bCs/>
                <w:color w:val="auto"/>
                <w:sz w:val="24"/>
                <w:szCs w:val="24"/>
              </w:rPr>
            </w:pPr>
          </w:p>
          <w:p w14:paraId="4BD058DB" w14:textId="77777777" w:rsidR="00117AEB" w:rsidRPr="00117AEB" w:rsidRDefault="00117AEB" w:rsidP="003548B7">
            <w:pPr>
              <w:jc w:val="center"/>
              <w:rPr>
                <w:b/>
                <w:bCs/>
                <w:color w:val="auto"/>
                <w:sz w:val="24"/>
                <w:szCs w:val="24"/>
              </w:rPr>
            </w:pPr>
          </w:p>
        </w:tc>
        <w:tc>
          <w:tcPr>
            <w:tcW w:w="2438" w:type="dxa"/>
          </w:tcPr>
          <w:p w14:paraId="12ED9CCF" w14:textId="77777777" w:rsidR="00117AEB" w:rsidRPr="00117AEB" w:rsidRDefault="00117AEB" w:rsidP="003548B7">
            <w:pPr>
              <w:jc w:val="center"/>
              <w:rPr>
                <w:rStyle w:val="cf01"/>
                <w:rFonts w:ascii="Times New Roman" w:hAnsi="Times New Roman" w:cs="Times New Roman"/>
                <w:b/>
                <w:bCs/>
                <w:color w:val="auto"/>
                <w:sz w:val="24"/>
                <w:szCs w:val="24"/>
              </w:rPr>
            </w:pPr>
            <w:r w:rsidRPr="00117AEB">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40A55D1C" w14:textId="77777777" w:rsidR="00117AEB" w:rsidRPr="00117AEB" w:rsidRDefault="00117AEB" w:rsidP="003548B7">
            <w:pPr>
              <w:jc w:val="center"/>
              <w:rPr>
                <w:b/>
                <w:bCs/>
                <w:color w:val="auto"/>
                <w:sz w:val="24"/>
                <w:szCs w:val="24"/>
              </w:rPr>
            </w:pPr>
            <w:r w:rsidRPr="00117AEB">
              <w:rPr>
                <w:rStyle w:val="cf01"/>
                <w:rFonts w:ascii="Times New Roman" w:hAnsi="Times New Roman" w:cs="Times New Roman"/>
                <w:i/>
                <w:iCs/>
                <w:color w:val="auto"/>
                <w:sz w:val="24"/>
                <w:szCs w:val="24"/>
              </w:rPr>
              <w:t>(Ja paredz, norāda, kas un kādā termiņā šo paziņošanas pienākumu izpildīs)</w:t>
            </w:r>
          </w:p>
        </w:tc>
      </w:tr>
      <w:tr w:rsidR="00117AEB" w:rsidRPr="00117AEB" w14:paraId="67C8AD7B" w14:textId="77777777" w:rsidTr="00DC1299">
        <w:tc>
          <w:tcPr>
            <w:tcW w:w="2438" w:type="dxa"/>
          </w:tcPr>
          <w:p w14:paraId="2F4F8AC0" w14:textId="77777777" w:rsidR="00117AEB" w:rsidRPr="00117AEB" w:rsidRDefault="00117AEB" w:rsidP="00117AEB">
            <w:pPr>
              <w:jc w:val="center"/>
              <w:rPr>
                <w:color w:val="auto"/>
                <w:sz w:val="24"/>
                <w:szCs w:val="24"/>
              </w:rPr>
            </w:pPr>
            <w:r w:rsidRPr="00117AEB">
              <w:rPr>
                <w:color w:val="auto"/>
                <w:sz w:val="24"/>
                <w:szCs w:val="24"/>
              </w:rPr>
              <w:t>A</w:t>
            </w:r>
          </w:p>
        </w:tc>
        <w:tc>
          <w:tcPr>
            <w:tcW w:w="2438" w:type="dxa"/>
          </w:tcPr>
          <w:p w14:paraId="198AB681" w14:textId="77777777" w:rsidR="00117AEB" w:rsidRPr="00117AEB" w:rsidRDefault="00117AEB" w:rsidP="00117AEB">
            <w:pPr>
              <w:jc w:val="center"/>
              <w:rPr>
                <w:color w:val="auto"/>
                <w:sz w:val="24"/>
                <w:szCs w:val="24"/>
              </w:rPr>
            </w:pPr>
            <w:r w:rsidRPr="00117AEB">
              <w:rPr>
                <w:color w:val="auto"/>
                <w:sz w:val="24"/>
                <w:szCs w:val="24"/>
              </w:rPr>
              <w:t>B</w:t>
            </w:r>
          </w:p>
        </w:tc>
        <w:tc>
          <w:tcPr>
            <w:tcW w:w="2438" w:type="dxa"/>
          </w:tcPr>
          <w:p w14:paraId="798822AA" w14:textId="77777777" w:rsidR="00117AEB" w:rsidRPr="00117AEB" w:rsidRDefault="00117AEB" w:rsidP="00117AEB">
            <w:pPr>
              <w:jc w:val="center"/>
              <w:rPr>
                <w:color w:val="auto"/>
                <w:sz w:val="24"/>
                <w:szCs w:val="24"/>
              </w:rPr>
            </w:pPr>
            <w:r w:rsidRPr="00117AEB">
              <w:rPr>
                <w:color w:val="auto"/>
                <w:sz w:val="24"/>
                <w:szCs w:val="24"/>
              </w:rPr>
              <w:t>C</w:t>
            </w:r>
          </w:p>
        </w:tc>
        <w:tc>
          <w:tcPr>
            <w:tcW w:w="2438" w:type="dxa"/>
          </w:tcPr>
          <w:p w14:paraId="76A6CF9C" w14:textId="77777777" w:rsidR="00117AEB" w:rsidRPr="00117AEB" w:rsidRDefault="00117AEB" w:rsidP="00117AEB">
            <w:pPr>
              <w:jc w:val="center"/>
              <w:rPr>
                <w:color w:val="auto"/>
                <w:sz w:val="24"/>
                <w:szCs w:val="24"/>
              </w:rPr>
            </w:pPr>
            <w:r w:rsidRPr="00117AEB">
              <w:rPr>
                <w:color w:val="auto"/>
                <w:sz w:val="24"/>
                <w:szCs w:val="24"/>
              </w:rPr>
              <w:t>D</w:t>
            </w:r>
          </w:p>
        </w:tc>
        <w:tc>
          <w:tcPr>
            <w:tcW w:w="2438" w:type="dxa"/>
          </w:tcPr>
          <w:p w14:paraId="78779D9D" w14:textId="77777777" w:rsidR="00117AEB" w:rsidRPr="00117AEB" w:rsidRDefault="00117AEB" w:rsidP="00117AEB">
            <w:pPr>
              <w:jc w:val="center"/>
              <w:rPr>
                <w:color w:val="auto"/>
                <w:sz w:val="24"/>
                <w:szCs w:val="24"/>
              </w:rPr>
            </w:pPr>
            <w:r w:rsidRPr="00117AEB">
              <w:rPr>
                <w:color w:val="auto"/>
                <w:sz w:val="24"/>
                <w:szCs w:val="24"/>
              </w:rPr>
              <w:t>E</w:t>
            </w:r>
          </w:p>
        </w:tc>
        <w:tc>
          <w:tcPr>
            <w:tcW w:w="2438" w:type="dxa"/>
          </w:tcPr>
          <w:p w14:paraId="1FE67950" w14:textId="77777777" w:rsidR="00117AEB" w:rsidRPr="00117AEB" w:rsidRDefault="00117AEB" w:rsidP="00117AEB">
            <w:pPr>
              <w:jc w:val="center"/>
              <w:rPr>
                <w:color w:val="auto"/>
                <w:sz w:val="24"/>
                <w:szCs w:val="24"/>
              </w:rPr>
            </w:pPr>
            <w:r w:rsidRPr="00117AEB">
              <w:rPr>
                <w:color w:val="auto"/>
                <w:sz w:val="24"/>
                <w:szCs w:val="24"/>
              </w:rPr>
              <w:t>F</w:t>
            </w:r>
          </w:p>
        </w:tc>
      </w:tr>
      <w:tr w:rsidR="00117AEB" w:rsidRPr="00117AEB" w14:paraId="631D89ED" w14:textId="77777777" w:rsidTr="00DC1299">
        <w:tc>
          <w:tcPr>
            <w:tcW w:w="2438" w:type="dxa"/>
          </w:tcPr>
          <w:p w14:paraId="18B42319" w14:textId="50F3FBFE" w:rsidR="00117AEB" w:rsidRPr="00117AEB" w:rsidRDefault="00117AEB" w:rsidP="003548B7">
            <w:pPr>
              <w:jc w:val="left"/>
              <w:rPr>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1. punkts </w:t>
            </w:r>
          </w:p>
        </w:tc>
        <w:tc>
          <w:tcPr>
            <w:tcW w:w="2438" w:type="dxa"/>
          </w:tcPr>
          <w:p w14:paraId="51B340A3" w14:textId="3B172554"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6. un 9. punkts</w:t>
            </w:r>
          </w:p>
        </w:tc>
        <w:tc>
          <w:tcPr>
            <w:tcW w:w="2438" w:type="dxa"/>
          </w:tcPr>
          <w:p w14:paraId="64C37CC9"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3A97277A"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53D241D8" w14:textId="77777777" w:rsidR="00117AEB" w:rsidRPr="00117AEB" w:rsidRDefault="00117AEB" w:rsidP="006E13B3">
            <w:pPr>
              <w:rPr>
                <w:color w:val="auto"/>
                <w:sz w:val="24"/>
                <w:szCs w:val="24"/>
              </w:rPr>
            </w:pPr>
            <w:r w:rsidRPr="00117AEB">
              <w:rPr>
                <w:color w:val="auto"/>
                <w:sz w:val="24"/>
                <w:szCs w:val="24"/>
              </w:rPr>
              <w:t>Jā</w:t>
            </w:r>
          </w:p>
        </w:tc>
        <w:tc>
          <w:tcPr>
            <w:tcW w:w="2438" w:type="dxa"/>
            <w:vMerge w:val="restart"/>
          </w:tcPr>
          <w:p w14:paraId="3D5A69F6" w14:textId="01FFCA22" w:rsidR="00117AEB" w:rsidRPr="003548B7" w:rsidRDefault="005A1487" w:rsidP="003548B7">
            <w:pPr>
              <w:jc w:val="left"/>
              <w:rPr>
                <w:rStyle w:val="cf01"/>
                <w:rFonts w:ascii="Times New Roman" w:hAnsi="Times New Roman" w:cs="Times New Roman"/>
                <w:color w:val="auto"/>
                <w:sz w:val="24"/>
                <w:szCs w:val="24"/>
              </w:rPr>
            </w:pPr>
            <w:r w:rsidRPr="00CF7D64">
              <w:rPr>
                <w:rStyle w:val="cf01"/>
                <w:rFonts w:ascii="Times New Roman" w:hAnsi="Times New Roman" w:cs="Times New Roman"/>
                <w:color w:val="auto"/>
                <w:sz w:val="24"/>
                <w:szCs w:val="24"/>
              </w:rPr>
              <w:t>Direktīvas</w:t>
            </w:r>
            <w:r w:rsidR="00CF7D64" w:rsidRPr="00CF7D64">
              <w:rPr>
                <w:rStyle w:val="cf01"/>
                <w:rFonts w:ascii="Times New Roman" w:hAnsi="Times New Roman" w:cs="Times New Roman"/>
                <w:color w:val="auto"/>
                <w:sz w:val="24"/>
                <w:szCs w:val="24"/>
              </w:rPr>
              <w:t> </w:t>
            </w:r>
            <w:r w:rsidRPr="00CF7D64">
              <w:rPr>
                <w:rStyle w:val="cf01"/>
                <w:rFonts w:ascii="Times New Roman" w:hAnsi="Times New Roman" w:cs="Times New Roman"/>
                <w:color w:val="auto"/>
                <w:sz w:val="24"/>
                <w:szCs w:val="24"/>
              </w:rPr>
              <w:t>2013/36 1</w:t>
            </w:r>
            <w:r w:rsidRPr="003548B7">
              <w:rPr>
                <w:rStyle w:val="cf01"/>
                <w:rFonts w:ascii="Times New Roman" w:hAnsi="Times New Roman" w:cs="Times New Roman"/>
                <w:color w:val="auto"/>
                <w:sz w:val="24"/>
                <w:szCs w:val="24"/>
              </w:rPr>
              <w:t xml:space="preserve">62. panta 1. punkta trešā daļa paredz, ka dalībvalstis dara </w:t>
            </w:r>
            <w:r w:rsidR="000568BB" w:rsidRPr="003548B7">
              <w:rPr>
                <w:rStyle w:val="cf01"/>
                <w:rFonts w:ascii="Times New Roman" w:hAnsi="Times New Roman" w:cs="Times New Roman"/>
                <w:color w:val="auto"/>
                <w:sz w:val="24"/>
                <w:szCs w:val="24"/>
              </w:rPr>
              <w:lastRenderedPageBreak/>
              <w:t xml:space="preserve">Eiropas </w:t>
            </w:r>
            <w:r w:rsidRPr="003548B7">
              <w:rPr>
                <w:rStyle w:val="cf01"/>
                <w:rFonts w:ascii="Times New Roman" w:hAnsi="Times New Roman" w:cs="Times New Roman"/>
                <w:color w:val="auto"/>
                <w:sz w:val="24"/>
                <w:szCs w:val="24"/>
              </w:rPr>
              <w:t>Komisijai un E</w:t>
            </w:r>
            <w:r w:rsidR="000568BB" w:rsidRPr="003548B7">
              <w:rPr>
                <w:rStyle w:val="cf01"/>
                <w:rFonts w:ascii="Times New Roman" w:hAnsi="Times New Roman" w:cs="Times New Roman"/>
                <w:color w:val="auto"/>
                <w:sz w:val="24"/>
                <w:szCs w:val="24"/>
              </w:rPr>
              <w:t>iropas Banku iestādei</w:t>
            </w:r>
            <w:r w:rsidRPr="003548B7">
              <w:rPr>
                <w:rStyle w:val="cf01"/>
                <w:rFonts w:ascii="Times New Roman" w:hAnsi="Times New Roman" w:cs="Times New Roman"/>
                <w:color w:val="auto"/>
                <w:sz w:val="24"/>
                <w:szCs w:val="24"/>
              </w:rPr>
              <w:t xml:space="preserve"> zināmus tos tiesību aktu galvenos noteikumus, ko tās pieņem jomā, uz kuru attiecas šī direktīva.</w:t>
            </w:r>
          </w:p>
          <w:p w14:paraId="2FDD9990" w14:textId="77777777" w:rsidR="000568BB" w:rsidRPr="003548B7" w:rsidRDefault="000568BB" w:rsidP="005A1487">
            <w:pPr>
              <w:rPr>
                <w:color w:val="auto"/>
                <w:sz w:val="24"/>
                <w:szCs w:val="24"/>
              </w:rPr>
            </w:pPr>
          </w:p>
          <w:p w14:paraId="0E440918" w14:textId="7076E60D" w:rsidR="000568BB" w:rsidRPr="00CF7D64" w:rsidRDefault="00AF6A2B" w:rsidP="003548B7">
            <w:pPr>
              <w:jc w:val="left"/>
              <w:rPr>
                <w:color w:val="auto"/>
                <w:sz w:val="24"/>
                <w:szCs w:val="24"/>
              </w:rPr>
            </w:pPr>
            <w:r w:rsidRPr="00CF7D64">
              <w:rPr>
                <w:color w:val="auto"/>
                <w:sz w:val="24"/>
                <w:szCs w:val="24"/>
              </w:rPr>
              <w:t xml:space="preserve">Pēc projekta apstiprināšanas Latvijas Bankas padomē minēto paziņošanas pienākumu attiecībā uz Eiropas Komisiju izpildīs Finanšu ministrija, savukārt Eiropas Banku iestādei </w:t>
            </w:r>
            <w:r w:rsidR="003548B7">
              <w:rPr>
                <w:color w:val="auto"/>
                <w:sz w:val="24"/>
                <w:szCs w:val="24"/>
              </w:rPr>
              <w:t>paziņos</w:t>
            </w:r>
            <w:r w:rsidR="003548B7" w:rsidRPr="00CF7D64">
              <w:rPr>
                <w:color w:val="auto"/>
                <w:sz w:val="24"/>
                <w:szCs w:val="24"/>
              </w:rPr>
              <w:t xml:space="preserve"> </w:t>
            </w:r>
            <w:r w:rsidRPr="00CF7D64">
              <w:rPr>
                <w:color w:val="auto"/>
                <w:sz w:val="24"/>
                <w:szCs w:val="24"/>
              </w:rPr>
              <w:t>Latvijas Banka.</w:t>
            </w:r>
          </w:p>
        </w:tc>
      </w:tr>
      <w:tr w:rsidR="00117AEB" w:rsidRPr="00117AEB" w14:paraId="03ABFB67" w14:textId="77777777" w:rsidTr="00DC1299">
        <w:tc>
          <w:tcPr>
            <w:tcW w:w="2438" w:type="dxa"/>
          </w:tcPr>
          <w:p w14:paraId="7F412961" w14:textId="4CFA19D2" w:rsidR="00117AEB" w:rsidRPr="00117AEB" w:rsidRDefault="00117AEB" w:rsidP="006E13B3">
            <w:pPr>
              <w:rPr>
                <w:rStyle w:val="cf01"/>
                <w:rFonts w:ascii="Times New Roman" w:hAnsi="Times New Roman" w:cs="Times New Roman"/>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2. punkts </w:t>
            </w:r>
          </w:p>
        </w:tc>
        <w:tc>
          <w:tcPr>
            <w:tcW w:w="2438" w:type="dxa"/>
          </w:tcPr>
          <w:p w14:paraId="01DD57BE" w14:textId="31BD7239"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7. punkts</w:t>
            </w:r>
          </w:p>
        </w:tc>
        <w:tc>
          <w:tcPr>
            <w:tcW w:w="2438" w:type="dxa"/>
          </w:tcPr>
          <w:p w14:paraId="237BBDE9"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5D315BBA"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4998D55F"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073E7F72" w14:textId="77777777" w:rsidR="00117AEB" w:rsidRPr="00117AEB" w:rsidRDefault="00117AEB" w:rsidP="006E13B3">
            <w:pPr>
              <w:rPr>
                <w:color w:val="auto"/>
                <w:sz w:val="24"/>
                <w:szCs w:val="24"/>
              </w:rPr>
            </w:pPr>
          </w:p>
        </w:tc>
      </w:tr>
      <w:tr w:rsidR="00117AEB" w:rsidRPr="00117AEB" w14:paraId="5E404225" w14:textId="77777777" w:rsidTr="00DC1299">
        <w:tc>
          <w:tcPr>
            <w:tcW w:w="2438" w:type="dxa"/>
          </w:tcPr>
          <w:p w14:paraId="77D860BA" w14:textId="4BD3B286" w:rsidR="00117AEB" w:rsidRPr="00117AEB" w:rsidRDefault="00117AEB" w:rsidP="003548B7">
            <w:pPr>
              <w:jc w:val="left"/>
              <w:rPr>
                <w:rStyle w:val="cf01"/>
                <w:rFonts w:ascii="Times New Roman" w:hAnsi="Times New Roman" w:cs="Times New Roman"/>
                <w:color w:val="auto"/>
                <w:sz w:val="24"/>
                <w:szCs w:val="24"/>
                <w:highlight w:val="green"/>
              </w:rPr>
            </w:pPr>
            <w:r w:rsidRPr="00117AEB">
              <w:rPr>
                <w:rStyle w:val="cf01"/>
                <w:rFonts w:ascii="Times New Roman" w:hAnsi="Times New Roman" w:cs="Times New Roman"/>
                <w:color w:val="auto"/>
                <w:sz w:val="24"/>
                <w:szCs w:val="24"/>
              </w:rPr>
              <w:lastRenderedPageBreak/>
              <w:t>Direktīvas</w:t>
            </w:r>
            <w:r w:rsidR="00CF7D64">
              <w:rPr>
                <w:rStyle w:val="cf01"/>
                <w:rFonts w:ascii="Times New Roman" w:hAnsi="Times New Roman" w:cs="Times New Roman"/>
                <w:color w:val="auto"/>
                <w:sz w:val="24"/>
                <w:szCs w:val="24"/>
              </w:rPr>
              <w:t> </w:t>
            </w:r>
            <w:r w:rsidRPr="00117AEB">
              <w:rPr>
                <w:rStyle w:val="cf01"/>
                <w:rFonts w:ascii="Times New Roman" w:hAnsi="Times New Roman" w:cs="Times New Roman"/>
                <w:color w:val="auto"/>
                <w:sz w:val="24"/>
                <w:szCs w:val="24"/>
              </w:rPr>
              <w:t>2013/36 86. panta 3. punkta pirmā daļa</w:t>
            </w:r>
          </w:p>
        </w:tc>
        <w:tc>
          <w:tcPr>
            <w:tcW w:w="2438" w:type="dxa"/>
          </w:tcPr>
          <w:p w14:paraId="4303B642" w14:textId="137492E7" w:rsidR="00117AEB" w:rsidRPr="00117AEB" w:rsidRDefault="00CF7D64" w:rsidP="003548B7">
            <w:pPr>
              <w:pStyle w:val="ListParagraph"/>
              <w:ind w:left="0" w:firstLine="5"/>
              <w:contextualSpacing w:val="0"/>
              <w:jc w:val="left"/>
              <w:rPr>
                <w:color w:val="auto"/>
                <w:sz w:val="24"/>
                <w:szCs w:val="24"/>
                <w:highlight w:val="green"/>
              </w:rPr>
            </w:pPr>
            <w:r>
              <w:rPr>
                <w:color w:val="auto"/>
                <w:sz w:val="24"/>
                <w:szCs w:val="24"/>
              </w:rPr>
              <w:t>V</w:t>
            </w:r>
            <w:r w:rsidR="00117AEB" w:rsidRPr="00117AEB">
              <w:rPr>
                <w:color w:val="auto"/>
                <w:sz w:val="24"/>
                <w:szCs w:val="24"/>
              </w:rPr>
              <w:t>iss projekts</w:t>
            </w:r>
          </w:p>
        </w:tc>
        <w:tc>
          <w:tcPr>
            <w:tcW w:w="2438" w:type="dxa"/>
          </w:tcPr>
          <w:p w14:paraId="0073D108" w14:textId="77777777" w:rsidR="00117AEB" w:rsidRPr="00117AEB" w:rsidRDefault="00117AEB" w:rsidP="006E13B3">
            <w:pPr>
              <w:rPr>
                <w:color w:val="auto"/>
                <w:sz w:val="24"/>
                <w:szCs w:val="24"/>
                <w:highlight w:val="green"/>
              </w:rPr>
            </w:pPr>
            <w:r w:rsidRPr="00117AEB">
              <w:rPr>
                <w:color w:val="auto"/>
                <w:sz w:val="24"/>
                <w:szCs w:val="24"/>
              </w:rPr>
              <w:t>Izpilda pilnībā</w:t>
            </w:r>
          </w:p>
        </w:tc>
        <w:tc>
          <w:tcPr>
            <w:tcW w:w="2438" w:type="dxa"/>
          </w:tcPr>
          <w:p w14:paraId="7626C538" w14:textId="77777777" w:rsidR="00117AEB" w:rsidRPr="00117AEB" w:rsidRDefault="00117AEB" w:rsidP="006E13B3">
            <w:pPr>
              <w:rPr>
                <w:color w:val="auto"/>
                <w:sz w:val="24"/>
                <w:szCs w:val="24"/>
                <w:highlight w:val="green"/>
              </w:rPr>
            </w:pPr>
            <w:r w:rsidRPr="00117AEB">
              <w:rPr>
                <w:color w:val="auto"/>
                <w:sz w:val="24"/>
                <w:szCs w:val="24"/>
              </w:rPr>
              <w:t>Nē</w:t>
            </w:r>
          </w:p>
        </w:tc>
        <w:tc>
          <w:tcPr>
            <w:tcW w:w="2438" w:type="dxa"/>
          </w:tcPr>
          <w:p w14:paraId="4868E0B8" w14:textId="77777777" w:rsidR="00117AEB" w:rsidRPr="00117AEB" w:rsidRDefault="00117AEB" w:rsidP="006E13B3">
            <w:pPr>
              <w:rPr>
                <w:color w:val="auto"/>
                <w:sz w:val="24"/>
                <w:szCs w:val="24"/>
                <w:highlight w:val="green"/>
              </w:rPr>
            </w:pPr>
            <w:r w:rsidRPr="00117AEB">
              <w:rPr>
                <w:color w:val="auto"/>
                <w:sz w:val="24"/>
                <w:szCs w:val="24"/>
              </w:rPr>
              <w:t>Jā</w:t>
            </w:r>
          </w:p>
        </w:tc>
        <w:tc>
          <w:tcPr>
            <w:tcW w:w="2438" w:type="dxa"/>
            <w:vMerge/>
          </w:tcPr>
          <w:p w14:paraId="7A81BD18" w14:textId="77777777" w:rsidR="00117AEB" w:rsidRPr="00117AEB" w:rsidRDefault="00117AEB" w:rsidP="006E13B3">
            <w:pPr>
              <w:rPr>
                <w:color w:val="auto"/>
                <w:sz w:val="24"/>
                <w:szCs w:val="24"/>
                <w:highlight w:val="green"/>
              </w:rPr>
            </w:pPr>
          </w:p>
        </w:tc>
      </w:tr>
      <w:tr w:rsidR="00117AEB" w:rsidRPr="00117AEB" w14:paraId="22C0A7A7" w14:textId="77777777" w:rsidTr="00DC1299">
        <w:tc>
          <w:tcPr>
            <w:tcW w:w="2438" w:type="dxa"/>
          </w:tcPr>
          <w:p w14:paraId="22B6DDCD" w14:textId="7A3461AF" w:rsidR="00117AEB" w:rsidRPr="00117AEB" w:rsidRDefault="00117AEB" w:rsidP="003548B7">
            <w:pPr>
              <w:jc w:val="left"/>
              <w:rPr>
                <w:rStyle w:val="cf01"/>
                <w:rFonts w:ascii="Times New Roman" w:hAnsi="Times New Roman" w:cs="Times New Roman"/>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4. punkts </w:t>
            </w:r>
          </w:p>
        </w:tc>
        <w:tc>
          <w:tcPr>
            <w:tcW w:w="2438" w:type="dxa"/>
          </w:tcPr>
          <w:p w14:paraId="5C67BF83" w14:textId="1306A596"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10.2. apakšpunkts</w:t>
            </w:r>
            <w:r w:rsidR="00204619">
              <w:rPr>
                <w:color w:val="auto"/>
                <w:sz w:val="24"/>
                <w:szCs w:val="24"/>
              </w:rPr>
              <w:t xml:space="preserve"> un</w:t>
            </w:r>
            <w:r w:rsidR="00117AEB" w:rsidRPr="00117AEB">
              <w:rPr>
                <w:color w:val="auto"/>
                <w:sz w:val="24"/>
                <w:szCs w:val="24"/>
              </w:rPr>
              <w:t xml:space="preserve"> 22., 26. un 27. punkts</w:t>
            </w:r>
          </w:p>
        </w:tc>
        <w:tc>
          <w:tcPr>
            <w:tcW w:w="2438" w:type="dxa"/>
          </w:tcPr>
          <w:p w14:paraId="132AEDB8"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70EE593F"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02E2C8F1"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51436D30" w14:textId="77777777" w:rsidR="00117AEB" w:rsidRPr="00117AEB" w:rsidRDefault="00117AEB" w:rsidP="006E13B3">
            <w:pPr>
              <w:rPr>
                <w:color w:val="auto"/>
                <w:sz w:val="24"/>
                <w:szCs w:val="24"/>
              </w:rPr>
            </w:pPr>
          </w:p>
        </w:tc>
      </w:tr>
      <w:tr w:rsidR="00117AEB" w:rsidRPr="00117AEB" w14:paraId="749924ED" w14:textId="77777777" w:rsidTr="00DC1299">
        <w:tc>
          <w:tcPr>
            <w:tcW w:w="2438" w:type="dxa"/>
          </w:tcPr>
          <w:p w14:paraId="53EC7AA6" w14:textId="45E8FD59" w:rsidR="00117AEB" w:rsidRPr="00117AEB" w:rsidRDefault="00117AEB" w:rsidP="003548B7">
            <w:pPr>
              <w:jc w:val="left"/>
              <w:rPr>
                <w:rStyle w:val="cf01"/>
                <w:rFonts w:ascii="Times New Roman" w:hAnsi="Times New Roman" w:cs="Times New Roman"/>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5. punkts </w:t>
            </w:r>
          </w:p>
        </w:tc>
        <w:tc>
          <w:tcPr>
            <w:tcW w:w="2438" w:type="dxa"/>
          </w:tcPr>
          <w:p w14:paraId="322A08FF" w14:textId="0132DE5D"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10.3. apakšpunkts</w:t>
            </w:r>
            <w:r w:rsidR="00204619">
              <w:rPr>
                <w:color w:val="auto"/>
                <w:sz w:val="24"/>
                <w:szCs w:val="24"/>
              </w:rPr>
              <w:t xml:space="preserve"> un</w:t>
            </w:r>
            <w:r w:rsidR="00117AEB" w:rsidRPr="00117AEB">
              <w:rPr>
                <w:color w:val="auto"/>
                <w:sz w:val="24"/>
                <w:szCs w:val="24"/>
              </w:rPr>
              <w:t xml:space="preserve"> 28. un 29. punkts</w:t>
            </w:r>
          </w:p>
        </w:tc>
        <w:tc>
          <w:tcPr>
            <w:tcW w:w="2438" w:type="dxa"/>
          </w:tcPr>
          <w:p w14:paraId="11A7FE8C"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74DD0784"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5E7637CE"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7847C68E" w14:textId="77777777" w:rsidR="00117AEB" w:rsidRPr="00117AEB" w:rsidRDefault="00117AEB" w:rsidP="006E13B3">
            <w:pPr>
              <w:rPr>
                <w:color w:val="auto"/>
                <w:sz w:val="24"/>
                <w:szCs w:val="24"/>
              </w:rPr>
            </w:pPr>
          </w:p>
        </w:tc>
      </w:tr>
      <w:tr w:rsidR="00117AEB" w:rsidRPr="00117AEB" w14:paraId="36E3B47E" w14:textId="77777777" w:rsidTr="00DC1299">
        <w:tc>
          <w:tcPr>
            <w:tcW w:w="2438" w:type="dxa"/>
          </w:tcPr>
          <w:p w14:paraId="322A954E" w14:textId="7EBF520D" w:rsidR="00117AEB" w:rsidRPr="00117AEB" w:rsidRDefault="00117AEB" w:rsidP="003548B7">
            <w:pPr>
              <w:jc w:val="left"/>
              <w:rPr>
                <w:rStyle w:val="cf01"/>
                <w:rFonts w:ascii="Times New Roman" w:hAnsi="Times New Roman" w:cs="Times New Roman"/>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6. punkts </w:t>
            </w:r>
          </w:p>
        </w:tc>
        <w:tc>
          <w:tcPr>
            <w:tcW w:w="2438" w:type="dxa"/>
          </w:tcPr>
          <w:p w14:paraId="26AE98E5" w14:textId="0CBBC0D3"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28.2. apakšpunkts</w:t>
            </w:r>
          </w:p>
        </w:tc>
        <w:tc>
          <w:tcPr>
            <w:tcW w:w="2438" w:type="dxa"/>
          </w:tcPr>
          <w:p w14:paraId="132C4E94"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25CF3EE3"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1AAC4A02"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5E9FE366" w14:textId="77777777" w:rsidR="00117AEB" w:rsidRPr="00117AEB" w:rsidRDefault="00117AEB" w:rsidP="006E13B3">
            <w:pPr>
              <w:rPr>
                <w:color w:val="auto"/>
                <w:sz w:val="24"/>
                <w:szCs w:val="24"/>
              </w:rPr>
            </w:pPr>
          </w:p>
        </w:tc>
      </w:tr>
      <w:tr w:rsidR="00117AEB" w:rsidRPr="00117AEB" w14:paraId="4D5643E4" w14:textId="77777777" w:rsidTr="00DC1299">
        <w:tc>
          <w:tcPr>
            <w:tcW w:w="2438" w:type="dxa"/>
          </w:tcPr>
          <w:p w14:paraId="589029F4" w14:textId="19E11B1F" w:rsidR="00117AEB" w:rsidRPr="00117AEB" w:rsidRDefault="00117AEB" w:rsidP="003548B7">
            <w:pPr>
              <w:jc w:val="left"/>
              <w:rPr>
                <w:rStyle w:val="cf01"/>
                <w:rFonts w:ascii="Times New Roman" w:hAnsi="Times New Roman" w:cs="Times New Roman"/>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7. punkts </w:t>
            </w:r>
          </w:p>
        </w:tc>
        <w:tc>
          <w:tcPr>
            <w:tcW w:w="2438" w:type="dxa"/>
          </w:tcPr>
          <w:p w14:paraId="2DA649DD" w14:textId="067D37B2"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10.5. apakšpunkts</w:t>
            </w:r>
            <w:r w:rsidR="00204619">
              <w:rPr>
                <w:color w:val="auto"/>
                <w:sz w:val="24"/>
                <w:szCs w:val="24"/>
              </w:rPr>
              <w:t xml:space="preserve"> un</w:t>
            </w:r>
            <w:r w:rsidR="00DC1299">
              <w:rPr>
                <w:color w:val="auto"/>
                <w:sz w:val="24"/>
                <w:szCs w:val="24"/>
              </w:rPr>
              <w:t xml:space="preserve"> 1</w:t>
            </w:r>
            <w:r w:rsidR="004D7133">
              <w:rPr>
                <w:color w:val="auto"/>
                <w:sz w:val="24"/>
                <w:szCs w:val="24"/>
              </w:rPr>
              <w:t>3</w:t>
            </w:r>
            <w:r w:rsidR="00DC1299">
              <w:rPr>
                <w:color w:val="auto"/>
                <w:sz w:val="24"/>
                <w:szCs w:val="24"/>
              </w:rPr>
              <w:t>.,</w:t>
            </w:r>
            <w:r w:rsidR="00117AEB" w:rsidRPr="00117AEB">
              <w:rPr>
                <w:color w:val="auto"/>
                <w:sz w:val="24"/>
                <w:szCs w:val="24"/>
              </w:rPr>
              <w:t xml:space="preserve"> 23., 26. un 27. punkts</w:t>
            </w:r>
          </w:p>
        </w:tc>
        <w:tc>
          <w:tcPr>
            <w:tcW w:w="2438" w:type="dxa"/>
          </w:tcPr>
          <w:p w14:paraId="5F6C5D0E"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5B3ABDA6"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778A61CB"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12D69672" w14:textId="77777777" w:rsidR="00117AEB" w:rsidRPr="00117AEB" w:rsidRDefault="00117AEB" w:rsidP="006E13B3">
            <w:pPr>
              <w:rPr>
                <w:color w:val="auto"/>
                <w:sz w:val="24"/>
                <w:szCs w:val="24"/>
              </w:rPr>
            </w:pPr>
          </w:p>
        </w:tc>
      </w:tr>
      <w:tr w:rsidR="00117AEB" w:rsidRPr="00117AEB" w14:paraId="060D4436" w14:textId="77777777" w:rsidTr="00DC1299">
        <w:tc>
          <w:tcPr>
            <w:tcW w:w="2438" w:type="dxa"/>
          </w:tcPr>
          <w:p w14:paraId="01776FAD" w14:textId="36B4F6A7" w:rsidR="00117AEB" w:rsidRPr="00117AEB" w:rsidRDefault="00117AEB" w:rsidP="003548B7">
            <w:pPr>
              <w:jc w:val="left"/>
              <w:rPr>
                <w:rStyle w:val="cf01"/>
                <w:rFonts w:ascii="Times New Roman" w:hAnsi="Times New Roman" w:cs="Times New Roman"/>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8. punkts </w:t>
            </w:r>
          </w:p>
        </w:tc>
        <w:tc>
          <w:tcPr>
            <w:tcW w:w="2438" w:type="dxa"/>
          </w:tcPr>
          <w:p w14:paraId="5E03FE43" w14:textId="576736CA"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1</w:t>
            </w:r>
            <w:r w:rsidR="004D7133">
              <w:rPr>
                <w:color w:val="auto"/>
                <w:sz w:val="24"/>
                <w:szCs w:val="24"/>
              </w:rPr>
              <w:t>3</w:t>
            </w:r>
            <w:r w:rsidR="00117AEB" w:rsidRPr="00117AEB">
              <w:rPr>
                <w:color w:val="auto"/>
                <w:sz w:val="24"/>
                <w:szCs w:val="24"/>
              </w:rPr>
              <w:t>., 19., 30. un 32. punkts</w:t>
            </w:r>
          </w:p>
        </w:tc>
        <w:tc>
          <w:tcPr>
            <w:tcW w:w="2438" w:type="dxa"/>
          </w:tcPr>
          <w:p w14:paraId="5A3E35F1"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1FA84F8C"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17005E0B"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0424779C" w14:textId="77777777" w:rsidR="00117AEB" w:rsidRPr="00117AEB" w:rsidRDefault="00117AEB" w:rsidP="006E13B3">
            <w:pPr>
              <w:rPr>
                <w:color w:val="auto"/>
                <w:sz w:val="24"/>
                <w:szCs w:val="24"/>
              </w:rPr>
            </w:pPr>
          </w:p>
        </w:tc>
      </w:tr>
      <w:tr w:rsidR="00117AEB" w:rsidRPr="00117AEB" w14:paraId="3CCA30A4" w14:textId="77777777" w:rsidTr="00DC1299">
        <w:tc>
          <w:tcPr>
            <w:tcW w:w="2438" w:type="dxa"/>
          </w:tcPr>
          <w:p w14:paraId="45FE895C" w14:textId="2DADC038" w:rsidR="00117AEB" w:rsidRPr="00117AEB" w:rsidRDefault="00117AEB" w:rsidP="003548B7">
            <w:pPr>
              <w:jc w:val="left"/>
              <w:rPr>
                <w:rStyle w:val="cf01"/>
                <w:rFonts w:ascii="Times New Roman" w:hAnsi="Times New Roman" w:cs="Times New Roman"/>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9. punkts </w:t>
            </w:r>
          </w:p>
        </w:tc>
        <w:tc>
          <w:tcPr>
            <w:tcW w:w="2438" w:type="dxa"/>
          </w:tcPr>
          <w:p w14:paraId="50E85BAC" w14:textId="695559B2"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30., 31.</w:t>
            </w:r>
            <w:r w:rsidR="00204619">
              <w:rPr>
                <w:color w:val="auto"/>
                <w:sz w:val="24"/>
                <w:szCs w:val="24"/>
              </w:rPr>
              <w:t xml:space="preserve"> </w:t>
            </w:r>
            <w:r w:rsidR="00117AEB" w:rsidRPr="00117AEB">
              <w:rPr>
                <w:color w:val="auto"/>
                <w:sz w:val="24"/>
                <w:szCs w:val="24"/>
              </w:rPr>
              <w:t>un 33. punkts</w:t>
            </w:r>
          </w:p>
        </w:tc>
        <w:tc>
          <w:tcPr>
            <w:tcW w:w="2438" w:type="dxa"/>
          </w:tcPr>
          <w:p w14:paraId="7D11B9BC"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2C0F62D9"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654FFAEB"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4859EC47" w14:textId="77777777" w:rsidR="00117AEB" w:rsidRPr="00117AEB" w:rsidRDefault="00117AEB" w:rsidP="006E13B3">
            <w:pPr>
              <w:rPr>
                <w:color w:val="auto"/>
                <w:sz w:val="24"/>
                <w:szCs w:val="24"/>
              </w:rPr>
            </w:pPr>
          </w:p>
        </w:tc>
      </w:tr>
      <w:tr w:rsidR="00117AEB" w:rsidRPr="00117AEB" w14:paraId="51F6D6EC" w14:textId="77777777" w:rsidTr="00DC1299">
        <w:tc>
          <w:tcPr>
            <w:tcW w:w="2438" w:type="dxa"/>
          </w:tcPr>
          <w:p w14:paraId="33B8DD0B" w14:textId="7D78BF40" w:rsidR="00117AEB" w:rsidRPr="00117AEB" w:rsidRDefault="00117AEB" w:rsidP="003548B7">
            <w:pPr>
              <w:jc w:val="left"/>
              <w:rPr>
                <w:color w:val="auto"/>
                <w:sz w:val="24"/>
                <w:szCs w:val="24"/>
              </w:rPr>
            </w:pPr>
            <w:r w:rsidRPr="00117AEB">
              <w:rPr>
                <w:rStyle w:val="cf01"/>
                <w:rFonts w:ascii="Times New Roman" w:hAnsi="Times New Roman" w:cs="Times New Roman"/>
                <w:color w:val="auto"/>
                <w:sz w:val="24"/>
                <w:szCs w:val="24"/>
              </w:rPr>
              <w:t>Direktīvas</w:t>
            </w:r>
            <w:r w:rsidR="00CF7D64">
              <w:rPr>
                <w:rStyle w:val="cf01"/>
                <w:rFonts w:ascii="Times New Roman" w:hAnsi="Times New Roman" w:cs="Times New Roman"/>
                <w:color w:val="auto"/>
                <w:sz w:val="24"/>
                <w:szCs w:val="24"/>
              </w:rPr>
              <w:t> </w:t>
            </w:r>
            <w:r w:rsidRPr="00117AEB">
              <w:rPr>
                <w:rStyle w:val="cf11"/>
                <w:rFonts w:ascii="Times New Roman" w:hAnsi="Times New Roman" w:cs="Times New Roman"/>
                <w:color w:val="auto"/>
                <w:sz w:val="24"/>
                <w:szCs w:val="24"/>
              </w:rPr>
              <w:t xml:space="preserve">2013/36 86. panta 10. punkts </w:t>
            </w:r>
          </w:p>
        </w:tc>
        <w:tc>
          <w:tcPr>
            <w:tcW w:w="2438" w:type="dxa"/>
          </w:tcPr>
          <w:p w14:paraId="5604C430" w14:textId="1C4DFDE7" w:rsidR="00117AEB" w:rsidRPr="00117AEB" w:rsidRDefault="00CF7D64" w:rsidP="003548B7">
            <w:pPr>
              <w:jc w:val="left"/>
              <w:rPr>
                <w:color w:val="auto"/>
                <w:sz w:val="24"/>
                <w:szCs w:val="24"/>
              </w:rPr>
            </w:pPr>
            <w:r>
              <w:rPr>
                <w:color w:val="auto"/>
                <w:sz w:val="24"/>
                <w:szCs w:val="24"/>
              </w:rPr>
              <w:t>P</w:t>
            </w:r>
            <w:r w:rsidR="00117AEB" w:rsidRPr="00117AEB">
              <w:rPr>
                <w:color w:val="auto"/>
                <w:sz w:val="24"/>
                <w:szCs w:val="24"/>
              </w:rPr>
              <w:t>rojekta 39. punkts</w:t>
            </w:r>
          </w:p>
        </w:tc>
        <w:tc>
          <w:tcPr>
            <w:tcW w:w="2438" w:type="dxa"/>
          </w:tcPr>
          <w:p w14:paraId="0FE7536F" w14:textId="77777777" w:rsidR="00117AEB" w:rsidRPr="00117AEB" w:rsidRDefault="00117AEB" w:rsidP="006E13B3">
            <w:pPr>
              <w:rPr>
                <w:color w:val="auto"/>
                <w:sz w:val="24"/>
                <w:szCs w:val="24"/>
              </w:rPr>
            </w:pPr>
            <w:r w:rsidRPr="00117AEB">
              <w:rPr>
                <w:color w:val="auto"/>
                <w:sz w:val="24"/>
                <w:szCs w:val="24"/>
              </w:rPr>
              <w:t>Izpilda pilnībā</w:t>
            </w:r>
          </w:p>
        </w:tc>
        <w:tc>
          <w:tcPr>
            <w:tcW w:w="2438" w:type="dxa"/>
          </w:tcPr>
          <w:p w14:paraId="387895AD" w14:textId="77777777" w:rsidR="00117AEB" w:rsidRPr="00117AEB" w:rsidRDefault="00117AEB" w:rsidP="006E13B3">
            <w:pPr>
              <w:rPr>
                <w:color w:val="auto"/>
                <w:sz w:val="24"/>
                <w:szCs w:val="24"/>
              </w:rPr>
            </w:pPr>
            <w:r w:rsidRPr="00117AEB">
              <w:rPr>
                <w:color w:val="auto"/>
                <w:sz w:val="24"/>
                <w:szCs w:val="24"/>
              </w:rPr>
              <w:t>Nē</w:t>
            </w:r>
          </w:p>
        </w:tc>
        <w:tc>
          <w:tcPr>
            <w:tcW w:w="2438" w:type="dxa"/>
          </w:tcPr>
          <w:p w14:paraId="0512EB36" w14:textId="77777777" w:rsidR="00117AEB" w:rsidRPr="00117AEB" w:rsidRDefault="00117AEB" w:rsidP="006E13B3">
            <w:pPr>
              <w:rPr>
                <w:color w:val="auto"/>
                <w:sz w:val="24"/>
                <w:szCs w:val="24"/>
              </w:rPr>
            </w:pPr>
            <w:r w:rsidRPr="00117AEB">
              <w:rPr>
                <w:color w:val="auto"/>
                <w:sz w:val="24"/>
                <w:szCs w:val="24"/>
              </w:rPr>
              <w:t>Jā</w:t>
            </w:r>
          </w:p>
        </w:tc>
        <w:tc>
          <w:tcPr>
            <w:tcW w:w="2438" w:type="dxa"/>
            <w:vMerge/>
          </w:tcPr>
          <w:p w14:paraId="41D63688" w14:textId="77777777" w:rsidR="00117AEB" w:rsidRPr="00117AEB" w:rsidRDefault="00117AEB" w:rsidP="006E13B3">
            <w:pPr>
              <w:rPr>
                <w:color w:val="auto"/>
                <w:sz w:val="24"/>
                <w:szCs w:val="24"/>
              </w:rPr>
            </w:pPr>
          </w:p>
        </w:tc>
      </w:tr>
      <w:tr w:rsidR="00EF13B5" w:rsidRPr="00117AEB" w14:paraId="6869636C" w14:textId="77777777" w:rsidTr="00DC1299">
        <w:tc>
          <w:tcPr>
            <w:tcW w:w="2438" w:type="dxa"/>
          </w:tcPr>
          <w:p w14:paraId="2953E614" w14:textId="4575D143" w:rsidR="00EF13B5" w:rsidRDefault="00EF13B5" w:rsidP="003548B7">
            <w:pPr>
              <w:jc w:val="left"/>
              <w:rPr>
                <w:bCs/>
                <w:sz w:val="24"/>
                <w:szCs w:val="24"/>
              </w:rPr>
            </w:pPr>
            <w:r w:rsidRPr="00204619">
              <w:rPr>
                <w:bCs/>
                <w:color w:val="auto"/>
                <w:sz w:val="24"/>
                <w:szCs w:val="24"/>
              </w:rPr>
              <w:t>Direktīvas</w:t>
            </w:r>
            <w:r w:rsidR="00CF7D64" w:rsidRPr="00204619">
              <w:rPr>
                <w:bCs/>
                <w:color w:val="auto"/>
                <w:sz w:val="24"/>
                <w:szCs w:val="24"/>
              </w:rPr>
              <w:t> </w:t>
            </w:r>
            <w:r w:rsidRPr="00204619">
              <w:rPr>
                <w:bCs/>
                <w:color w:val="auto"/>
                <w:sz w:val="24"/>
                <w:szCs w:val="24"/>
              </w:rPr>
              <w:t>2019/2034</w:t>
            </w:r>
            <w:r w:rsidR="007B0A2F" w:rsidRPr="00204619">
              <w:rPr>
                <w:bCs/>
                <w:color w:val="auto"/>
                <w:sz w:val="24"/>
                <w:szCs w:val="24"/>
              </w:rPr>
              <w:t xml:space="preserve"> 62. panta 15. punkts (izsaka jaunā redakcijā </w:t>
            </w:r>
            <w:r w:rsidRPr="00204619">
              <w:rPr>
                <w:rStyle w:val="cf01"/>
                <w:rFonts w:ascii="Times New Roman" w:hAnsi="Times New Roman" w:cs="Times New Roman"/>
                <w:color w:val="auto"/>
                <w:sz w:val="24"/>
                <w:szCs w:val="24"/>
              </w:rPr>
              <w:t>Direktīvas</w:t>
            </w:r>
            <w:r w:rsidR="00CF7D64" w:rsidRPr="00204619">
              <w:rPr>
                <w:rStyle w:val="cf01"/>
                <w:rFonts w:ascii="Times New Roman" w:hAnsi="Times New Roman" w:cs="Times New Roman"/>
                <w:color w:val="auto"/>
                <w:sz w:val="24"/>
                <w:szCs w:val="24"/>
              </w:rPr>
              <w:t> </w:t>
            </w:r>
            <w:r w:rsidRPr="00204619">
              <w:rPr>
                <w:rStyle w:val="cf11"/>
                <w:rFonts w:ascii="Times New Roman" w:hAnsi="Times New Roman" w:cs="Times New Roman"/>
                <w:color w:val="auto"/>
                <w:sz w:val="24"/>
                <w:szCs w:val="24"/>
              </w:rPr>
              <w:t>2013/36 86. panta 11. punkt</w:t>
            </w:r>
            <w:r w:rsidR="007B0A2F" w:rsidRPr="00204619">
              <w:rPr>
                <w:rStyle w:val="cf11"/>
                <w:rFonts w:ascii="Times New Roman" w:hAnsi="Times New Roman" w:cs="Times New Roman"/>
                <w:color w:val="auto"/>
                <w:sz w:val="24"/>
                <w:szCs w:val="24"/>
              </w:rPr>
              <w:t>u</w:t>
            </w:r>
            <w:r w:rsidR="007B0A2F">
              <w:rPr>
                <w:rStyle w:val="cf11"/>
                <w:rFonts w:ascii="Times New Roman" w:hAnsi="Times New Roman" w:cs="Times New Roman"/>
                <w:color w:val="auto"/>
                <w:sz w:val="24"/>
                <w:szCs w:val="24"/>
              </w:rPr>
              <w:t>)</w:t>
            </w:r>
            <w:r w:rsidRPr="00117AEB">
              <w:rPr>
                <w:rStyle w:val="cf11"/>
                <w:rFonts w:ascii="Times New Roman" w:hAnsi="Times New Roman" w:cs="Times New Roman"/>
                <w:color w:val="auto"/>
                <w:sz w:val="24"/>
                <w:szCs w:val="24"/>
              </w:rPr>
              <w:t xml:space="preserve"> </w:t>
            </w:r>
          </w:p>
        </w:tc>
        <w:tc>
          <w:tcPr>
            <w:tcW w:w="2438" w:type="dxa"/>
          </w:tcPr>
          <w:p w14:paraId="12AE55F3" w14:textId="122BBCCC" w:rsidR="00EF13B5" w:rsidRPr="00117AEB" w:rsidRDefault="00CF7D64" w:rsidP="003548B7">
            <w:pPr>
              <w:jc w:val="left"/>
              <w:rPr>
                <w:sz w:val="24"/>
                <w:szCs w:val="24"/>
              </w:rPr>
            </w:pPr>
            <w:r>
              <w:rPr>
                <w:color w:val="auto"/>
                <w:sz w:val="24"/>
                <w:szCs w:val="24"/>
              </w:rPr>
              <w:t>P</w:t>
            </w:r>
            <w:r w:rsidR="00EF13B5" w:rsidRPr="00117AEB">
              <w:rPr>
                <w:color w:val="auto"/>
                <w:sz w:val="24"/>
                <w:szCs w:val="24"/>
              </w:rPr>
              <w:t>rojekta 1</w:t>
            </w:r>
            <w:r w:rsidR="004D7133">
              <w:rPr>
                <w:color w:val="auto"/>
                <w:sz w:val="24"/>
                <w:szCs w:val="24"/>
              </w:rPr>
              <w:t>3</w:t>
            </w:r>
            <w:r w:rsidR="00EF13B5" w:rsidRPr="00117AEB">
              <w:rPr>
                <w:color w:val="auto"/>
                <w:sz w:val="24"/>
                <w:szCs w:val="24"/>
              </w:rPr>
              <w:t xml:space="preserve">., 18., </w:t>
            </w:r>
            <w:r w:rsidR="00D623DE">
              <w:rPr>
                <w:color w:val="auto"/>
                <w:sz w:val="24"/>
                <w:szCs w:val="24"/>
              </w:rPr>
              <w:t xml:space="preserve">28., </w:t>
            </w:r>
            <w:r w:rsidR="00EF13B5" w:rsidRPr="00117AEB">
              <w:rPr>
                <w:color w:val="auto"/>
                <w:sz w:val="24"/>
                <w:szCs w:val="24"/>
              </w:rPr>
              <w:t>40.</w:t>
            </w:r>
            <w:r w:rsidR="00D623DE">
              <w:rPr>
                <w:color w:val="auto"/>
                <w:sz w:val="24"/>
                <w:szCs w:val="24"/>
              </w:rPr>
              <w:t>, 41.</w:t>
            </w:r>
            <w:r w:rsidR="00EF13B5" w:rsidRPr="00117AEB">
              <w:rPr>
                <w:color w:val="auto"/>
                <w:sz w:val="24"/>
                <w:szCs w:val="24"/>
              </w:rPr>
              <w:t xml:space="preserve"> un 4</w:t>
            </w:r>
            <w:r w:rsidR="00D623DE">
              <w:rPr>
                <w:color w:val="auto"/>
                <w:sz w:val="24"/>
                <w:szCs w:val="24"/>
              </w:rPr>
              <w:t>2</w:t>
            </w:r>
            <w:r w:rsidR="00EF13B5" w:rsidRPr="00117AEB">
              <w:rPr>
                <w:color w:val="auto"/>
                <w:sz w:val="24"/>
                <w:szCs w:val="24"/>
              </w:rPr>
              <w:t>. punkts</w:t>
            </w:r>
          </w:p>
        </w:tc>
        <w:tc>
          <w:tcPr>
            <w:tcW w:w="2438" w:type="dxa"/>
          </w:tcPr>
          <w:p w14:paraId="45240619" w14:textId="3A425120" w:rsidR="00EF13B5" w:rsidRPr="00117AEB" w:rsidRDefault="00EF13B5" w:rsidP="00EF13B5">
            <w:pPr>
              <w:rPr>
                <w:sz w:val="24"/>
                <w:szCs w:val="24"/>
              </w:rPr>
            </w:pPr>
            <w:r w:rsidRPr="00117AEB">
              <w:rPr>
                <w:color w:val="auto"/>
                <w:sz w:val="24"/>
                <w:szCs w:val="24"/>
              </w:rPr>
              <w:t>Izpilda pilnībā</w:t>
            </w:r>
          </w:p>
        </w:tc>
        <w:tc>
          <w:tcPr>
            <w:tcW w:w="2438" w:type="dxa"/>
          </w:tcPr>
          <w:p w14:paraId="120AB71D" w14:textId="72B5B8BF" w:rsidR="00EF13B5" w:rsidRPr="00117AEB" w:rsidRDefault="00EF13B5" w:rsidP="00EF13B5">
            <w:pPr>
              <w:rPr>
                <w:sz w:val="24"/>
                <w:szCs w:val="24"/>
              </w:rPr>
            </w:pPr>
            <w:r w:rsidRPr="00117AEB">
              <w:rPr>
                <w:color w:val="auto"/>
                <w:sz w:val="24"/>
                <w:szCs w:val="24"/>
              </w:rPr>
              <w:t>Nē</w:t>
            </w:r>
          </w:p>
        </w:tc>
        <w:tc>
          <w:tcPr>
            <w:tcW w:w="2438" w:type="dxa"/>
          </w:tcPr>
          <w:p w14:paraId="401F98B2" w14:textId="407D5C17" w:rsidR="00EF13B5" w:rsidRPr="00117AEB" w:rsidRDefault="00EF13B5" w:rsidP="00EF13B5">
            <w:pPr>
              <w:rPr>
                <w:sz w:val="24"/>
                <w:szCs w:val="24"/>
              </w:rPr>
            </w:pPr>
            <w:r w:rsidRPr="00117AEB">
              <w:rPr>
                <w:color w:val="auto"/>
                <w:sz w:val="24"/>
                <w:szCs w:val="24"/>
              </w:rPr>
              <w:t>Jā</w:t>
            </w:r>
          </w:p>
        </w:tc>
        <w:tc>
          <w:tcPr>
            <w:tcW w:w="2438" w:type="dxa"/>
          </w:tcPr>
          <w:p w14:paraId="7518F275" w14:textId="1C6466ED" w:rsidR="00204619" w:rsidRDefault="007B0A2F" w:rsidP="003548B7">
            <w:pPr>
              <w:jc w:val="left"/>
              <w:rPr>
                <w:bCs/>
                <w:sz w:val="24"/>
                <w:szCs w:val="24"/>
              </w:rPr>
            </w:pPr>
            <w:r w:rsidRPr="007B0A2F">
              <w:rPr>
                <w:color w:val="auto"/>
                <w:sz w:val="24"/>
                <w:szCs w:val="24"/>
              </w:rPr>
              <w:t>Direktīvas</w:t>
            </w:r>
            <w:r w:rsidR="00CF7D64">
              <w:rPr>
                <w:color w:val="auto"/>
                <w:sz w:val="24"/>
                <w:szCs w:val="24"/>
              </w:rPr>
              <w:t> </w:t>
            </w:r>
            <w:r w:rsidRPr="007B0A2F">
              <w:rPr>
                <w:color w:val="auto"/>
                <w:sz w:val="24"/>
                <w:szCs w:val="24"/>
              </w:rPr>
              <w:t xml:space="preserve">2019/2034 67. panta 3. punkts paredz, ka dalībvalstis dara </w:t>
            </w:r>
            <w:r w:rsidR="00FD5114">
              <w:rPr>
                <w:color w:val="auto"/>
                <w:sz w:val="24"/>
                <w:szCs w:val="24"/>
              </w:rPr>
              <w:t xml:space="preserve">Eiropas </w:t>
            </w:r>
            <w:r w:rsidRPr="007B0A2F">
              <w:rPr>
                <w:color w:val="auto"/>
                <w:sz w:val="24"/>
                <w:szCs w:val="24"/>
              </w:rPr>
              <w:t>Komisijai un E</w:t>
            </w:r>
            <w:r w:rsidR="00FD5114">
              <w:rPr>
                <w:color w:val="auto"/>
                <w:sz w:val="24"/>
                <w:szCs w:val="24"/>
              </w:rPr>
              <w:t>iropas Banku iestādei</w:t>
            </w:r>
            <w:r w:rsidRPr="007B0A2F">
              <w:rPr>
                <w:color w:val="auto"/>
                <w:sz w:val="24"/>
                <w:szCs w:val="24"/>
              </w:rPr>
              <w:t xml:space="preserve"> zināmus tos tiesību aktu galvenos noteikumus, ko tās pieņem jomā, uz kuru attiecas šī direktīva.</w:t>
            </w:r>
          </w:p>
          <w:p w14:paraId="257BD43D" w14:textId="77777777" w:rsidR="00CE05ED" w:rsidRDefault="00CE05ED" w:rsidP="003548B7">
            <w:pPr>
              <w:jc w:val="left"/>
              <w:rPr>
                <w:bCs/>
                <w:sz w:val="24"/>
                <w:szCs w:val="24"/>
              </w:rPr>
            </w:pPr>
          </w:p>
          <w:p w14:paraId="1731B13E" w14:textId="4FC331DE" w:rsidR="00EF13B5" w:rsidRPr="00117AEB" w:rsidRDefault="00FD5114" w:rsidP="003548B7">
            <w:pPr>
              <w:jc w:val="left"/>
              <w:rPr>
                <w:sz w:val="24"/>
                <w:szCs w:val="24"/>
              </w:rPr>
            </w:pPr>
            <w:r w:rsidRPr="00AF6A2B">
              <w:rPr>
                <w:color w:val="auto"/>
                <w:sz w:val="24"/>
                <w:szCs w:val="24"/>
              </w:rPr>
              <w:lastRenderedPageBreak/>
              <w:t xml:space="preserve">Pēc projekta apstiprināšanas Latvijas Bankas padomē minēto paziņošanas pienākumu attiecībā uz Eiropas Komisiju izpildīs Finanšu ministrija, savukārt Eiropas Banku iestādei </w:t>
            </w:r>
            <w:r w:rsidR="003548B7">
              <w:rPr>
                <w:color w:val="auto"/>
                <w:sz w:val="24"/>
                <w:szCs w:val="24"/>
              </w:rPr>
              <w:t>paziņos</w:t>
            </w:r>
            <w:r w:rsidR="003548B7" w:rsidRPr="00AF6A2B">
              <w:rPr>
                <w:color w:val="auto"/>
                <w:sz w:val="24"/>
                <w:szCs w:val="24"/>
              </w:rPr>
              <w:t xml:space="preserve"> </w:t>
            </w:r>
            <w:r w:rsidRPr="00AF6A2B">
              <w:rPr>
                <w:color w:val="auto"/>
                <w:sz w:val="24"/>
                <w:szCs w:val="24"/>
              </w:rPr>
              <w:t>Latvijas Banka.</w:t>
            </w:r>
          </w:p>
        </w:tc>
      </w:tr>
    </w:tbl>
    <w:p w14:paraId="763DB94F" w14:textId="77777777" w:rsidR="00117AEB" w:rsidRPr="00117AEB" w:rsidRDefault="00117AEB" w:rsidP="005A1487">
      <w:pPr>
        <w:spacing w:after="0" w:line="240" w:lineRule="auto"/>
        <w:rPr>
          <w:rFonts w:ascii="Times New Roman" w:hAnsi="Times New Roman" w:cs="Times New Roman"/>
          <w:sz w:val="24"/>
          <w:szCs w:val="24"/>
        </w:rPr>
      </w:pPr>
    </w:p>
    <w:p w14:paraId="1F03428B" w14:textId="1F08B065" w:rsidR="00E53DE9" w:rsidRPr="00117AEB" w:rsidRDefault="00E53DE9" w:rsidP="00DD1128">
      <w:pPr>
        <w:rPr>
          <w:rFonts w:ascii="Times New Roman" w:hAnsi="Times New Roman" w:cs="Times New Roman"/>
          <w:sz w:val="24"/>
          <w:szCs w:val="24"/>
        </w:rPr>
      </w:pPr>
    </w:p>
    <w:sectPr w:rsidR="00E53DE9" w:rsidRPr="00117AEB" w:rsidSect="00117AEB">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7760C" w14:textId="77777777" w:rsidR="00DA7789" w:rsidRDefault="00DA7789" w:rsidP="009B27BE">
      <w:pPr>
        <w:spacing w:after="0" w:line="240" w:lineRule="auto"/>
      </w:pPr>
      <w:r>
        <w:separator/>
      </w:r>
    </w:p>
  </w:endnote>
  <w:endnote w:type="continuationSeparator" w:id="0">
    <w:p w14:paraId="2D6D39A6" w14:textId="77777777" w:rsidR="00DA7789" w:rsidRDefault="00DA7789"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4D380" w14:textId="77777777" w:rsidR="00DA7789" w:rsidRDefault="00DA7789" w:rsidP="009B27BE">
      <w:pPr>
        <w:spacing w:after="0" w:line="240" w:lineRule="auto"/>
      </w:pPr>
      <w:r>
        <w:separator/>
      </w:r>
    </w:p>
  </w:footnote>
  <w:footnote w:type="continuationSeparator" w:id="0">
    <w:p w14:paraId="1E2B320C" w14:textId="77777777" w:rsidR="00DA7789" w:rsidRDefault="00DA7789" w:rsidP="009B27BE">
      <w:pPr>
        <w:spacing w:after="0" w:line="240" w:lineRule="auto"/>
      </w:pPr>
      <w:r>
        <w:continuationSeparator/>
      </w:r>
    </w:p>
  </w:footnote>
  <w:footnote w:id="1">
    <w:p w14:paraId="4E7A20BC" w14:textId="0831679F" w:rsidR="001F3BDD" w:rsidRPr="009A3354" w:rsidRDefault="001F3BDD" w:rsidP="00516429">
      <w:pPr>
        <w:pStyle w:val="FootnoteText"/>
        <w:spacing w:after="120"/>
        <w:rPr>
          <w:rFonts w:ascii="Times New Roman" w:hAnsi="Times New Roman" w:cs="Times New Roman"/>
        </w:rPr>
      </w:pPr>
      <w:r w:rsidRPr="009A3354">
        <w:rPr>
          <w:rStyle w:val="FootnoteReference"/>
          <w:rFonts w:ascii="Times New Roman" w:hAnsi="Times New Roman" w:cs="Times New Roman"/>
        </w:rPr>
        <w:footnoteRef/>
      </w:r>
      <w:r w:rsidRPr="009A3354">
        <w:rPr>
          <w:rFonts w:ascii="Times New Roman" w:hAnsi="Times New Roman" w:cs="Times New Roman"/>
        </w:rPr>
        <w:t xml:space="preserve"> </w:t>
      </w:r>
      <w:hyperlink r:id="rId1" w:history="1">
        <w:r w:rsidR="00E7042C" w:rsidRPr="00696384">
          <w:rPr>
            <w:rStyle w:val="Hyperlink"/>
            <w:rFonts w:ascii="Times New Roman" w:hAnsi="Times New Roman" w:cs="Times New Roman"/>
          </w:rPr>
          <w:t>https://www.eba.europa.eu/sites/default/files/documents/10180/16106/c5f8b530-10df-476e-80da-9ec8e8b5d341/CEBS_2008_147_%28Advice%20on%20liquidity_2nd%20part%29%20final.pdf</w:t>
        </w:r>
      </w:hyperlink>
      <w:r w:rsidR="00E7042C">
        <w:rPr>
          <w:rFonts w:ascii="Times New Roman" w:hAnsi="Times New Roman" w:cs="Times New Roman"/>
        </w:rPr>
        <w:t xml:space="preserve"> </w:t>
      </w:r>
    </w:p>
  </w:footnote>
  <w:footnote w:id="2">
    <w:p w14:paraId="0FBF75FC" w14:textId="63D314BC" w:rsidR="00EA017F" w:rsidRPr="00EA017F" w:rsidRDefault="00EA017F">
      <w:pPr>
        <w:pStyle w:val="FootnoteText"/>
        <w:rPr>
          <w:rFonts w:ascii="Times New Roman" w:hAnsi="Times New Roman" w:cs="Times New Roman"/>
        </w:rPr>
      </w:pPr>
      <w:r w:rsidRPr="00EA017F">
        <w:rPr>
          <w:rStyle w:val="FootnoteReference"/>
          <w:rFonts w:ascii="Times New Roman" w:hAnsi="Times New Roman" w:cs="Times New Roman"/>
        </w:rPr>
        <w:footnoteRef/>
      </w:r>
      <w:r w:rsidRPr="00EA017F">
        <w:rPr>
          <w:rFonts w:ascii="Times New Roman" w:hAnsi="Times New Roman" w:cs="Times New Roman"/>
        </w:rPr>
        <w:t xml:space="preserve"> </w:t>
      </w:r>
      <w:hyperlink r:id="rId2" w:history="1">
        <w:r w:rsidR="00677613" w:rsidRPr="007447A8">
          <w:rPr>
            <w:rStyle w:val="Hyperlink"/>
            <w:rFonts w:ascii="Times New Roman" w:hAnsi="Times New Roman" w:cs="Times New Roman"/>
          </w:rPr>
          <w:t>https://www.bankingsupervision.europa.eu/ecb/pub/pdf/ssm.ilaap_guide_201811.en.pdf</w:t>
        </w:r>
      </w:hyperlink>
      <w:r w:rsidR="00677613">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16CEF61"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2B28558C"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E08C5"/>
    <w:multiLevelType w:val="hybridMultilevel"/>
    <w:tmpl w:val="2B5CB720"/>
    <w:lvl w:ilvl="0" w:tplc="FF9A3A7C">
      <w:start w:val="1"/>
      <w:numFmt w:val="bullet"/>
      <w:lvlText w:val=""/>
      <w:lvlJc w:val="left"/>
      <w:pPr>
        <w:ind w:left="1080" w:hanging="360"/>
      </w:pPr>
      <w:rPr>
        <w:rFonts w:ascii="Symbol" w:hAnsi="Symbol"/>
      </w:rPr>
    </w:lvl>
    <w:lvl w:ilvl="1" w:tplc="333E49AA">
      <w:start w:val="1"/>
      <w:numFmt w:val="bullet"/>
      <w:lvlText w:val=""/>
      <w:lvlJc w:val="left"/>
      <w:pPr>
        <w:ind w:left="1080" w:hanging="360"/>
      </w:pPr>
      <w:rPr>
        <w:rFonts w:ascii="Symbol" w:hAnsi="Symbol"/>
      </w:rPr>
    </w:lvl>
    <w:lvl w:ilvl="2" w:tplc="543A8D36">
      <w:start w:val="1"/>
      <w:numFmt w:val="bullet"/>
      <w:lvlText w:val=""/>
      <w:lvlJc w:val="left"/>
      <w:pPr>
        <w:ind w:left="1080" w:hanging="360"/>
      </w:pPr>
      <w:rPr>
        <w:rFonts w:ascii="Symbol" w:hAnsi="Symbol"/>
      </w:rPr>
    </w:lvl>
    <w:lvl w:ilvl="3" w:tplc="F7F03740">
      <w:start w:val="1"/>
      <w:numFmt w:val="bullet"/>
      <w:lvlText w:val=""/>
      <w:lvlJc w:val="left"/>
      <w:pPr>
        <w:ind w:left="1080" w:hanging="360"/>
      </w:pPr>
      <w:rPr>
        <w:rFonts w:ascii="Symbol" w:hAnsi="Symbol"/>
      </w:rPr>
    </w:lvl>
    <w:lvl w:ilvl="4" w:tplc="12300048">
      <w:start w:val="1"/>
      <w:numFmt w:val="bullet"/>
      <w:lvlText w:val=""/>
      <w:lvlJc w:val="left"/>
      <w:pPr>
        <w:ind w:left="1080" w:hanging="360"/>
      </w:pPr>
      <w:rPr>
        <w:rFonts w:ascii="Symbol" w:hAnsi="Symbol"/>
      </w:rPr>
    </w:lvl>
    <w:lvl w:ilvl="5" w:tplc="45426344">
      <w:start w:val="1"/>
      <w:numFmt w:val="bullet"/>
      <w:lvlText w:val=""/>
      <w:lvlJc w:val="left"/>
      <w:pPr>
        <w:ind w:left="1080" w:hanging="360"/>
      </w:pPr>
      <w:rPr>
        <w:rFonts w:ascii="Symbol" w:hAnsi="Symbol"/>
      </w:rPr>
    </w:lvl>
    <w:lvl w:ilvl="6" w:tplc="B2D293B4">
      <w:start w:val="1"/>
      <w:numFmt w:val="bullet"/>
      <w:lvlText w:val=""/>
      <w:lvlJc w:val="left"/>
      <w:pPr>
        <w:ind w:left="1080" w:hanging="360"/>
      </w:pPr>
      <w:rPr>
        <w:rFonts w:ascii="Symbol" w:hAnsi="Symbol"/>
      </w:rPr>
    </w:lvl>
    <w:lvl w:ilvl="7" w:tplc="0960FC6E">
      <w:start w:val="1"/>
      <w:numFmt w:val="bullet"/>
      <w:lvlText w:val=""/>
      <w:lvlJc w:val="left"/>
      <w:pPr>
        <w:ind w:left="1080" w:hanging="360"/>
      </w:pPr>
      <w:rPr>
        <w:rFonts w:ascii="Symbol" w:hAnsi="Symbol"/>
      </w:rPr>
    </w:lvl>
    <w:lvl w:ilvl="8" w:tplc="AABC79D0">
      <w:start w:val="1"/>
      <w:numFmt w:val="bullet"/>
      <w:lvlText w:val=""/>
      <w:lvlJc w:val="left"/>
      <w:pPr>
        <w:ind w:left="1080" w:hanging="360"/>
      </w:pPr>
      <w:rPr>
        <w:rFonts w:ascii="Symbol" w:hAnsi="Symbol"/>
      </w:rPr>
    </w:lvl>
  </w:abstractNum>
  <w:abstractNum w:abstractNumId="1" w15:restartNumberingAfterBreak="0">
    <w:nsid w:val="0B6D79D8"/>
    <w:multiLevelType w:val="hybridMultilevel"/>
    <w:tmpl w:val="8A0A051C"/>
    <w:lvl w:ilvl="0" w:tplc="3BF6A6A4">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D77741"/>
    <w:multiLevelType w:val="hybridMultilevel"/>
    <w:tmpl w:val="21D8AFA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23604522"/>
    <w:multiLevelType w:val="hybridMultilevel"/>
    <w:tmpl w:val="ADB22C80"/>
    <w:lvl w:ilvl="0" w:tplc="FFFFFFF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9D427EA"/>
    <w:multiLevelType w:val="hybridMultilevel"/>
    <w:tmpl w:val="C6AC67DC"/>
    <w:lvl w:ilvl="0" w:tplc="EEAAA0B4">
      <w:start w:val="1"/>
      <w:numFmt w:val="decimal"/>
      <w:lvlText w:val="%1)"/>
      <w:lvlJc w:val="left"/>
      <w:pPr>
        <w:ind w:left="1020" w:hanging="360"/>
      </w:pPr>
    </w:lvl>
    <w:lvl w:ilvl="1" w:tplc="B81A76B0">
      <w:start w:val="1"/>
      <w:numFmt w:val="decimal"/>
      <w:lvlText w:val="%2)"/>
      <w:lvlJc w:val="left"/>
      <w:pPr>
        <w:ind w:left="1020" w:hanging="360"/>
      </w:pPr>
    </w:lvl>
    <w:lvl w:ilvl="2" w:tplc="C74E95BA">
      <w:start w:val="1"/>
      <w:numFmt w:val="decimal"/>
      <w:lvlText w:val="%3)"/>
      <w:lvlJc w:val="left"/>
      <w:pPr>
        <w:ind w:left="1020" w:hanging="360"/>
      </w:pPr>
    </w:lvl>
    <w:lvl w:ilvl="3" w:tplc="7F72CE52">
      <w:start w:val="1"/>
      <w:numFmt w:val="decimal"/>
      <w:lvlText w:val="%4)"/>
      <w:lvlJc w:val="left"/>
      <w:pPr>
        <w:ind w:left="1020" w:hanging="360"/>
      </w:pPr>
    </w:lvl>
    <w:lvl w:ilvl="4" w:tplc="94200F2A">
      <w:start w:val="1"/>
      <w:numFmt w:val="decimal"/>
      <w:lvlText w:val="%5)"/>
      <w:lvlJc w:val="left"/>
      <w:pPr>
        <w:ind w:left="1020" w:hanging="360"/>
      </w:pPr>
    </w:lvl>
    <w:lvl w:ilvl="5" w:tplc="1582964E">
      <w:start w:val="1"/>
      <w:numFmt w:val="decimal"/>
      <w:lvlText w:val="%6)"/>
      <w:lvlJc w:val="left"/>
      <w:pPr>
        <w:ind w:left="1020" w:hanging="360"/>
      </w:pPr>
    </w:lvl>
    <w:lvl w:ilvl="6" w:tplc="BF628696">
      <w:start w:val="1"/>
      <w:numFmt w:val="decimal"/>
      <w:lvlText w:val="%7)"/>
      <w:lvlJc w:val="left"/>
      <w:pPr>
        <w:ind w:left="1020" w:hanging="360"/>
      </w:pPr>
    </w:lvl>
    <w:lvl w:ilvl="7" w:tplc="B786092C">
      <w:start w:val="1"/>
      <w:numFmt w:val="decimal"/>
      <w:lvlText w:val="%8)"/>
      <w:lvlJc w:val="left"/>
      <w:pPr>
        <w:ind w:left="1020" w:hanging="360"/>
      </w:pPr>
    </w:lvl>
    <w:lvl w:ilvl="8" w:tplc="1A28D7F8">
      <w:start w:val="1"/>
      <w:numFmt w:val="decimal"/>
      <w:lvlText w:val="%9)"/>
      <w:lvlJc w:val="left"/>
      <w:pPr>
        <w:ind w:left="1020" w:hanging="360"/>
      </w:pPr>
    </w:lvl>
  </w:abstractNum>
  <w:abstractNum w:abstractNumId="5" w15:restartNumberingAfterBreak="0">
    <w:nsid w:val="4B234BF6"/>
    <w:multiLevelType w:val="hybridMultilevel"/>
    <w:tmpl w:val="32B25E3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7354528"/>
    <w:multiLevelType w:val="hybridMultilevel"/>
    <w:tmpl w:val="CD76D8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9774DA3"/>
    <w:multiLevelType w:val="hybridMultilevel"/>
    <w:tmpl w:val="32B25E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E26779B"/>
    <w:multiLevelType w:val="hybridMultilevel"/>
    <w:tmpl w:val="6DF4AF22"/>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15:restartNumberingAfterBreak="0">
    <w:nsid w:val="74E552B3"/>
    <w:multiLevelType w:val="hybridMultilevel"/>
    <w:tmpl w:val="DA0ECDBC"/>
    <w:lvl w:ilvl="0" w:tplc="29FCEB92">
      <w:start w:val="1"/>
      <w:numFmt w:val="decimal"/>
      <w:lvlText w:val="%1)"/>
      <w:lvlJc w:val="left"/>
      <w:pPr>
        <w:ind w:left="720" w:hanging="360"/>
      </w:pPr>
    </w:lvl>
    <w:lvl w:ilvl="1" w:tplc="C58E674C">
      <w:start w:val="1"/>
      <w:numFmt w:val="decimal"/>
      <w:lvlText w:val="%2)"/>
      <w:lvlJc w:val="left"/>
      <w:pPr>
        <w:ind w:left="720" w:hanging="360"/>
      </w:pPr>
    </w:lvl>
    <w:lvl w:ilvl="2" w:tplc="5B321DAC">
      <w:start w:val="1"/>
      <w:numFmt w:val="decimal"/>
      <w:lvlText w:val="%3)"/>
      <w:lvlJc w:val="left"/>
      <w:pPr>
        <w:ind w:left="720" w:hanging="360"/>
      </w:pPr>
    </w:lvl>
    <w:lvl w:ilvl="3" w:tplc="93D87456">
      <w:start w:val="1"/>
      <w:numFmt w:val="decimal"/>
      <w:lvlText w:val="%4)"/>
      <w:lvlJc w:val="left"/>
      <w:pPr>
        <w:ind w:left="720" w:hanging="360"/>
      </w:pPr>
    </w:lvl>
    <w:lvl w:ilvl="4" w:tplc="902C495A">
      <w:start w:val="1"/>
      <w:numFmt w:val="decimal"/>
      <w:lvlText w:val="%5)"/>
      <w:lvlJc w:val="left"/>
      <w:pPr>
        <w:ind w:left="720" w:hanging="360"/>
      </w:pPr>
    </w:lvl>
    <w:lvl w:ilvl="5" w:tplc="5F165E9C">
      <w:start w:val="1"/>
      <w:numFmt w:val="decimal"/>
      <w:lvlText w:val="%6)"/>
      <w:lvlJc w:val="left"/>
      <w:pPr>
        <w:ind w:left="720" w:hanging="360"/>
      </w:pPr>
    </w:lvl>
    <w:lvl w:ilvl="6" w:tplc="18585F2A">
      <w:start w:val="1"/>
      <w:numFmt w:val="decimal"/>
      <w:lvlText w:val="%7)"/>
      <w:lvlJc w:val="left"/>
      <w:pPr>
        <w:ind w:left="720" w:hanging="360"/>
      </w:pPr>
    </w:lvl>
    <w:lvl w:ilvl="7" w:tplc="5B3A4F9A">
      <w:start w:val="1"/>
      <w:numFmt w:val="decimal"/>
      <w:lvlText w:val="%8)"/>
      <w:lvlJc w:val="left"/>
      <w:pPr>
        <w:ind w:left="720" w:hanging="360"/>
      </w:pPr>
    </w:lvl>
    <w:lvl w:ilvl="8" w:tplc="1A84A82C">
      <w:start w:val="1"/>
      <w:numFmt w:val="decimal"/>
      <w:lvlText w:val="%9)"/>
      <w:lvlJc w:val="left"/>
      <w:pPr>
        <w:ind w:left="720" w:hanging="360"/>
      </w:pPr>
    </w:lvl>
  </w:abstractNum>
  <w:abstractNum w:abstractNumId="12" w15:restartNumberingAfterBreak="0">
    <w:nsid w:val="76E8661E"/>
    <w:multiLevelType w:val="hybridMultilevel"/>
    <w:tmpl w:val="C12C46FA"/>
    <w:lvl w:ilvl="0" w:tplc="6E82F040">
      <w:start w:val="1"/>
      <w:numFmt w:val="decimal"/>
      <w:lvlText w:val="%1)"/>
      <w:lvlJc w:val="left"/>
      <w:pPr>
        <w:ind w:left="720" w:hanging="360"/>
      </w:pPr>
    </w:lvl>
    <w:lvl w:ilvl="1" w:tplc="4DCA99EC">
      <w:start w:val="1"/>
      <w:numFmt w:val="decimal"/>
      <w:lvlText w:val="%2)"/>
      <w:lvlJc w:val="left"/>
      <w:pPr>
        <w:ind w:left="720" w:hanging="360"/>
      </w:pPr>
    </w:lvl>
    <w:lvl w:ilvl="2" w:tplc="82D49E20">
      <w:start w:val="1"/>
      <w:numFmt w:val="decimal"/>
      <w:lvlText w:val="%3)"/>
      <w:lvlJc w:val="left"/>
      <w:pPr>
        <w:ind w:left="720" w:hanging="360"/>
      </w:pPr>
    </w:lvl>
    <w:lvl w:ilvl="3" w:tplc="ABA8F3CA">
      <w:start w:val="1"/>
      <w:numFmt w:val="decimal"/>
      <w:lvlText w:val="%4)"/>
      <w:lvlJc w:val="left"/>
      <w:pPr>
        <w:ind w:left="720" w:hanging="360"/>
      </w:pPr>
    </w:lvl>
    <w:lvl w:ilvl="4" w:tplc="4132AFD0">
      <w:start w:val="1"/>
      <w:numFmt w:val="decimal"/>
      <w:lvlText w:val="%5)"/>
      <w:lvlJc w:val="left"/>
      <w:pPr>
        <w:ind w:left="720" w:hanging="360"/>
      </w:pPr>
    </w:lvl>
    <w:lvl w:ilvl="5" w:tplc="635A004C">
      <w:start w:val="1"/>
      <w:numFmt w:val="decimal"/>
      <w:lvlText w:val="%6)"/>
      <w:lvlJc w:val="left"/>
      <w:pPr>
        <w:ind w:left="720" w:hanging="360"/>
      </w:pPr>
    </w:lvl>
    <w:lvl w:ilvl="6" w:tplc="B7A6021E">
      <w:start w:val="1"/>
      <w:numFmt w:val="decimal"/>
      <w:lvlText w:val="%7)"/>
      <w:lvlJc w:val="left"/>
      <w:pPr>
        <w:ind w:left="720" w:hanging="360"/>
      </w:pPr>
    </w:lvl>
    <w:lvl w:ilvl="7" w:tplc="909EA4E8">
      <w:start w:val="1"/>
      <w:numFmt w:val="decimal"/>
      <w:lvlText w:val="%8)"/>
      <w:lvlJc w:val="left"/>
      <w:pPr>
        <w:ind w:left="720" w:hanging="360"/>
      </w:pPr>
    </w:lvl>
    <w:lvl w:ilvl="8" w:tplc="ECA63176">
      <w:start w:val="1"/>
      <w:numFmt w:val="decimal"/>
      <w:lvlText w:val="%9)"/>
      <w:lvlJc w:val="left"/>
      <w:pPr>
        <w:ind w:left="720" w:hanging="360"/>
      </w:pPr>
    </w:lvl>
  </w:abstractNum>
  <w:abstractNum w:abstractNumId="13" w15:restartNumberingAfterBreak="0">
    <w:nsid w:val="77E00F55"/>
    <w:multiLevelType w:val="hybridMultilevel"/>
    <w:tmpl w:val="A3A0DD00"/>
    <w:lvl w:ilvl="0" w:tplc="FFFFFFF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26534662">
    <w:abstractNumId w:val="10"/>
  </w:num>
  <w:num w:numId="2" w16cid:durableId="1583830091">
    <w:abstractNumId w:val="2"/>
  </w:num>
  <w:num w:numId="3" w16cid:durableId="807209601">
    <w:abstractNumId w:val="5"/>
  </w:num>
  <w:num w:numId="4" w16cid:durableId="540633807">
    <w:abstractNumId w:val="7"/>
  </w:num>
  <w:num w:numId="5" w16cid:durableId="253784293">
    <w:abstractNumId w:val="8"/>
  </w:num>
  <w:num w:numId="6" w16cid:durableId="560795264">
    <w:abstractNumId w:val="9"/>
  </w:num>
  <w:num w:numId="7" w16cid:durableId="451870917">
    <w:abstractNumId w:val="3"/>
  </w:num>
  <w:num w:numId="8" w16cid:durableId="1750038345">
    <w:abstractNumId w:val="13"/>
  </w:num>
  <w:num w:numId="9" w16cid:durableId="1432817280">
    <w:abstractNumId w:val="0"/>
  </w:num>
  <w:num w:numId="10" w16cid:durableId="1823155602">
    <w:abstractNumId w:val="4"/>
  </w:num>
  <w:num w:numId="11" w16cid:durableId="144664670">
    <w:abstractNumId w:val="11"/>
  </w:num>
  <w:num w:numId="12" w16cid:durableId="1727797654">
    <w:abstractNumId w:val="12"/>
  </w:num>
  <w:num w:numId="13" w16cid:durableId="492919115">
    <w:abstractNumId w:val="1"/>
  </w:num>
  <w:num w:numId="14" w16cid:durableId="1209204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C3F"/>
    <w:rsid w:val="00000C9D"/>
    <w:rsid w:val="00005BDC"/>
    <w:rsid w:val="00007438"/>
    <w:rsid w:val="00025C77"/>
    <w:rsid w:val="000263F5"/>
    <w:rsid w:val="000308E6"/>
    <w:rsid w:val="0004322E"/>
    <w:rsid w:val="000559E4"/>
    <w:rsid w:val="000568BB"/>
    <w:rsid w:val="00073467"/>
    <w:rsid w:val="00083F73"/>
    <w:rsid w:val="000843DF"/>
    <w:rsid w:val="000849A3"/>
    <w:rsid w:val="00084A37"/>
    <w:rsid w:val="0008510E"/>
    <w:rsid w:val="000921E8"/>
    <w:rsid w:val="0009347B"/>
    <w:rsid w:val="00094877"/>
    <w:rsid w:val="0009616F"/>
    <w:rsid w:val="000B4E0A"/>
    <w:rsid w:val="000D2951"/>
    <w:rsid w:val="000D59F4"/>
    <w:rsid w:val="000F160F"/>
    <w:rsid w:val="00100D2F"/>
    <w:rsid w:val="00101EB4"/>
    <w:rsid w:val="001057CE"/>
    <w:rsid w:val="00107E9B"/>
    <w:rsid w:val="00117AEB"/>
    <w:rsid w:val="00120EBA"/>
    <w:rsid w:val="001306A0"/>
    <w:rsid w:val="00132070"/>
    <w:rsid w:val="00133F6A"/>
    <w:rsid w:val="0013690F"/>
    <w:rsid w:val="00143A48"/>
    <w:rsid w:val="00143C51"/>
    <w:rsid w:val="00152AF2"/>
    <w:rsid w:val="001557F7"/>
    <w:rsid w:val="00160BDE"/>
    <w:rsid w:val="00162E14"/>
    <w:rsid w:val="001655B7"/>
    <w:rsid w:val="001712A3"/>
    <w:rsid w:val="00174FE8"/>
    <w:rsid w:val="001839A9"/>
    <w:rsid w:val="001857D6"/>
    <w:rsid w:val="00193C54"/>
    <w:rsid w:val="00196D36"/>
    <w:rsid w:val="001A5171"/>
    <w:rsid w:val="001C0E7F"/>
    <w:rsid w:val="001D0102"/>
    <w:rsid w:val="001D13EE"/>
    <w:rsid w:val="001D607C"/>
    <w:rsid w:val="001D73A3"/>
    <w:rsid w:val="001E3A64"/>
    <w:rsid w:val="001E55E4"/>
    <w:rsid w:val="001F3BDD"/>
    <w:rsid w:val="001F788F"/>
    <w:rsid w:val="00202A1B"/>
    <w:rsid w:val="00203C03"/>
    <w:rsid w:val="00204619"/>
    <w:rsid w:val="0021170F"/>
    <w:rsid w:val="00225195"/>
    <w:rsid w:val="0024758E"/>
    <w:rsid w:val="0025505D"/>
    <w:rsid w:val="00255C0B"/>
    <w:rsid w:val="002575F8"/>
    <w:rsid w:val="00260ED6"/>
    <w:rsid w:val="00271001"/>
    <w:rsid w:val="002713BA"/>
    <w:rsid w:val="00286EC7"/>
    <w:rsid w:val="0029333D"/>
    <w:rsid w:val="002A2899"/>
    <w:rsid w:val="002B2C4F"/>
    <w:rsid w:val="002B2D61"/>
    <w:rsid w:val="002B6C98"/>
    <w:rsid w:val="002C1A5C"/>
    <w:rsid w:val="002C576C"/>
    <w:rsid w:val="002D4B64"/>
    <w:rsid w:val="002D54F5"/>
    <w:rsid w:val="002E22F2"/>
    <w:rsid w:val="002F67D6"/>
    <w:rsid w:val="00300DAE"/>
    <w:rsid w:val="0030104E"/>
    <w:rsid w:val="00303E45"/>
    <w:rsid w:val="00314AC9"/>
    <w:rsid w:val="003255C8"/>
    <w:rsid w:val="00325B5D"/>
    <w:rsid w:val="003344C2"/>
    <w:rsid w:val="0033540F"/>
    <w:rsid w:val="00343918"/>
    <w:rsid w:val="003535C9"/>
    <w:rsid w:val="0035419A"/>
    <w:rsid w:val="003548B7"/>
    <w:rsid w:val="00356ACD"/>
    <w:rsid w:val="0036355F"/>
    <w:rsid w:val="003646EC"/>
    <w:rsid w:val="003654D7"/>
    <w:rsid w:val="00365522"/>
    <w:rsid w:val="003663C8"/>
    <w:rsid w:val="0037034B"/>
    <w:rsid w:val="00371D9B"/>
    <w:rsid w:val="003774D8"/>
    <w:rsid w:val="003777CB"/>
    <w:rsid w:val="00395B8E"/>
    <w:rsid w:val="00397965"/>
    <w:rsid w:val="003B2243"/>
    <w:rsid w:val="003B481B"/>
    <w:rsid w:val="003C7414"/>
    <w:rsid w:val="003D06FC"/>
    <w:rsid w:val="003D43E4"/>
    <w:rsid w:val="00406A33"/>
    <w:rsid w:val="00415227"/>
    <w:rsid w:val="00423739"/>
    <w:rsid w:val="004259ED"/>
    <w:rsid w:val="004262D5"/>
    <w:rsid w:val="00436244"/>
    <w:rsid w:val="00440240"/>
    <w:rsid w:val="004451BE"/>
    <w:rsid w:val="00447B17"/>
    <w:rsid w:val="004530CB"/>
    <w:rsid w:val="00462DE4"/>
    <w:rsid w:val="004669EE"/>
    <w:rsid w:val="00472784"/>
    <w:rsid w:val="00474C3F"/>
    <w:rsid w:val="00474D30"/>
    <w:rsid w:val="00481104"/>
    <w:rsid w:val="0049248A"/>
    <w:rsid w:val="00492ED8"/>
    <w:rsid w:val="00494DA2"/>
    <w:rsid w:val="004966AD"/>
    <w:rsid w:val="0049785C"/>
    <w:rsid w:val="004A5D13"/>
    <w:rsid w:val="004B50A3"/>
    <w:rsid w:val="004B6B6B"/>
    <w:rsid w:val="004B71FC"/>
    <w:rsid w:val="004D341F"/>
    <w:rsid w:val="004D7133"/>
    <w:rsid w:val="004E117F"/>
    <w:rsid w:val="004F0103"/>
    <w:rsid w:val="004F292F"/>
    <w:rsid w:val="00516429"/>
    <w:rsid w:val="00520F8F"/>
    <w:rsid w:val="005257FD"/>
    <w:rsid w:val="00532EBA"/>
    <w:rsid w:val="005350E3"/>
    <w:rsid w:val="00536845"/>
    <w:rsid w:val="005445EF"/>
    <w:rsid w:val="00545668"/>
    <w:rsid w:val="005525B8"/>
    <w:rsid w:val="00556358"/>
    <w:rsid w:val="00562FBB"/>
    <w:rsid w:val="005648EF"/>
    <w:rsid w:val="0058668C"/>
    <w:rsid w:val="00594EC9"/>
    <w:rsid w:val="005A1487"/>
    <w:rsid w:val="005A1C7D"/>
    <w:rsid w:val="005A2EEA"/>
    <w:rsid w:val="005A35A2"/>
    <w:rsid w:val="005A5B34"/>
    <w:rsid w:val="005A7EAB"/>
    <w:rsid w:val="005B3E28"/>
    <w:rsid w:val="005C19EB"/>
    <w:rsid w:val="005C4BE1"/>
    <w:rsid w:val="005C63CD"/>
    <w:rsid w:val="005D3661"/>
    <w:rsid w:val="005F2B32"/>
    <w:rsid w:val="006000F6"/>
    <w:rsid w:val="0060016E"/>
    <w:rsid w:val="00602FE5"/>
    <w:rsid w:val="00603119"/>
    <w:rsid w:val="00605067"/>
    <w:rsid w:val="0060626A"/>
    <w:rsid w:val="00612ECF"/>
    <w:rsid w:val="0061799A"/>
    <w:rsid w:val="00630B8B"/>
    <w:rsid w:val="00636A32"/>
    <w:rsid w:val="00642172"/>
    <w:rsid w:val="00644912"/>
    <w:rsid w:val="00651F7B"/>
    <w:rsid w:val="00675332"/>
    <w:rsid w:val="00676D9A"/>
    <w:rsid w:val="0067706F"/>
    <w:rsid w:val="00677613"/>
    <w:rsid w:val="00684A21"/>
    <w:rsid w:val="006853E7"/>
    <w:rsid w:val="006858E6"/>
    <w:rsid w:val="006861CE"/>
    <w:rsid w:val="006930AB"/>
    <w:rsid w:val="0069410B"/>
    <w:rsid w:val="00694B65"/>
    <w:rsid w:val="00695642"/>
    <w:rsid w:val="006A5FCD"/>
    <w:rsid w:val="006C641C"/>
    <w:rsid w:val="006E13B3"/>
    <w:rsid w:val="006E386F"/>
    <w:rsid w:val="006E4B12"/>
    <w:rsid w:val="00700949"/>
    <w:rsid w:val="00706BA4"/>
    <w:rsid w:val="00713B89"/>
    <w:rsid w:val="0071456F"/>
    <w:rsid w:val="00724B80"/>
    <w:rsid w:val="00730BAB"/>
    <w:rsid w:val="00736043"/>
    <w:rsid w:val="00756820"/>
    <w:rsid w:val="00762371"/>
    <w:rsid w:val="00764172"/>
    <w:rsid w:val="0076476B"/>
    <w:rsid w:val="007678C9"/>
    <w:rsid w:val="0077245D"/>
    <w:rsid w:val="007758DF"/>
    <w:rsid w:val="007758E7"/>
    <w:rsid w:val="0078098C"/>
    <w:rsid w:val="00790CDB"/>
    <w:rsid w:val="00793B90"/>
    <w:rsid w:val="007A3DBA"/>
    <w:rsid w:val="007A6661"/>
    <w:rsid w:val="007B0A2F"/>
    <w:rsid w:val="007C59E0"/>
    <w:rsid w:val="007E313B"/>
    <w:rsid w:val="007E734D"/>
    <w:rsid w:val="007F3E20"/>
    <w:rsid w:val="007F5EF6"/>
    <w:rsid w:val="00801459"/>
    <w:rsid w:val="0080275F"/>
    <w:rsid w:val="00802B18"/>
    <w:rsid w:val="00810362"/>
    <w:rsid w:val="0081742D"/>
    <w:rsid w:val="0082058A"/>
    <w:rsid w:val="0083759B"/>
    <w:rsid w:val="00837616"/>
    <w:rsid w:val="00862563"/>
    <w:rsid w:val="0086365C"/>
    <w:rsid w:val="008662A1"/>
    <w:rsid w:val="0087393B"/>
    <w:rsid w:val="0088497E"/>
    <w:rsid w:val="00885C5A"/>
    <w:rsid w:val="008869DD"/>
    <w:rsid w:val="00897D1D"/>
    <w:rsid w:val="008A2EC8"/>
    <w:rsid w:val="008B0572"/>
    <w:rsid w:val="008B5056"/>
    <w:rsid w:val="008C720F"/>
    <w:rsid w:val="008D4181"/>
    <w:rsid w:val="008D60CC"/>
    <w:rsid w:val="008E233B"/>
    <w:rsid w:val="008F3DED"/>
    <w:rsid w:val="008F550D"/>
    <w:rsid w:val="0090131B"/>
    <w:rsid w:val="009015D5"/>
    <w:rsid w:val="00903470"/>
    <w:rsid w:val="00906FF7"/>
    <w:rsid w:val="00920831"/>
    <w:rsid w:val="009269B6"/>
    <w:rsid w:val="0093057A"/>
    <w:rsid w:val="00936DDB"/>
    <w:rsid w:val="0096105D"/>
    <w:rsid w:val="0096381D"/>
    <w:rsid w:val="00964E44"/>
    <w:rsid w:val="00967200"/>
    <w:rsid w:val="009711D8"/>
    <w:rsid w:val="009726AB"/>
    <w:rsid w:val="0097497F"/>
    <w:rsid w:val="00975644"/>
    <w:rsid w:val="00975983"/>
    <w:rsid w:val="0097774C"/>
    <w:rsid w:val="00982FF1"/>
    <w:rsid w:val="00987A50"/>
    <w:rsid w:val="00994EC4"/>
    <w:rsid w:val="00997DF2"/>
    <w:rsid w:val="009A00B6"/>
    <w:rsid w:val="009A3354"/>
    <w:rsid w:val="009A4993"/>
    <w:rsid w:val="009B0B60"/>
    <w:rsid w:val="009B145B"/>
    <w:rsid w:val="009B27BE"/>
    <w:rsid w:val="009C52B4"/>
    <w:rsid w:val="009C6ECD"/>
    <w:rsid w:val="009D3C0D"/>
    <w:rsid w:val="009D3FE5"/>
    <w:rsid w:val="009D69BC"/>
    <w:rsid w:val="009E5466"/>
    <w:rsid w:val="009E7289"/>
    <w:rsid w:val="009F7082"/>
    <w:rsid w:val="00A00DBA"/>
    <w:rsid w:val="00A0254C"/>
    <w:rsid w:val="00A04181"/>
    <w:rsid w:val="00A0418B"/>
    <w:rsid w:val="00A072AA"/>
    <w:rsid w:val="00A14F30"/>
    <w:rsid w:val="00A15E41"/>
    <w:rsid w:val="00A211B2"/>
    <w:rsid w:val="00A23DED"/>
    <w:rsid w:val="00A25744"/>
    <w:rsid w:val="00A26017"/>
    <w:rsid w:val="00A2690A"/>
    <w:rsid w:val="00A354BF"/>
    <w:rsid w:val="00A42788"/>
    <w:rsid w:val="00A4386B"/>
    <w:rsid w:val="00A44EB3"/>
    <w:rsid w:val="00A50CFA"/>
    <w:rsid w:val="00A51DF5"/>
    <w:rsid w:val="00A65785"/>
    <w:rsid w:val="00A71EAA"/>
    <w:rsid w:val="00A80308"/>
    <w:rsid w:val="00A87B98"/>
    <w:rsid w:val="00A87CBC"/>
    <w:rsid w:val="00A933A7"/>
    <w:rsid w:val="00AA782E"/>
    <w:rsid w:val="00AB107B"/>
    <w:rsid w:val="00AB7144"/>
    <w:rsid w:val="00AB73AD"/>
    <w:rsid w:val="00AC1DF1"/>
    <w:rsid w:val="00AC3188"/>
    <w:rsid w:val="00AC4143"/>
    <w:rsid w:val="00AD0E9E"/>
    <w:rsid w:val="00AD34CE"/>
    <w:rsid w:val="00AE0A39"/>
    <w:rsid w:val="00AE1383"/>
    <w:rsid w:val="00AE4DA0"/>
    <w:rsid w:val="00AF6A2B"/>
    <w:rsid w:val="00B00638"/>
    <w:rsid w:val="00B041A2"/>
    <w:rsid w:val="00B075DA"/>
    <w:rsid w:val="00B107D6"/>
    <w:rsid w:val="00B2321C"/>
    <w:rsid w:val="00B239A5"/>
    <w:rsid w:val="00B3728B"/>
    <w:rsid w:val="00B37C7C"/>
    <w:rsid w:val="00B4162A"/>
    <w:rsid w:val="00B43393"/>
    <w:rsid w:val="00B434A6"/>
    <w:rsid w:val="00B53D44"/>
    <w:rsid w:val="00B54208"/>
    <w:rsid w:val="00B60EAF"/>
    <w:rsid w:val="00B62244"/>
    <w:rsid w:val="00B67E2F"/>
    <w:rsid w:val="00B72828"/>
    <w:rsid w:val="00B73872"/>
    <w:rsid w:val="00B76BBE"/>
    <w:rsid w:val="00B803E7"/>
    <w:rsid w:val="00B95DAB"/>
    <w:rsid w:val="00BA5682"/>
    <w:rsid w:val="00BA5EAE"/>
    <w:rsid w:val="00BC0630"/>
    <w:rsid w:val="00BD08B3"/>
    <w:rsid w:val="00BD2000"/>
    <w:rsid w:val="00BE6798"/>
    <w:rsid w:val="00BF04C7"/>
    <w:rsid w:val="00BF5789"/>
    <w:rsid w:val="00C0501A"/>
    <w:rsid w:val="00C1503D"/>
    <w:rsid w:val="00C353CD"/>
    <w:rsid w:val="00C41DA9"/>
    <w:rsid w:val="00C61831"/>
    <w:rsid w:val="00C668FF"/>
    <w:rsid w:val="00C717C8"/>
    <w:rsid w:val="00C7715D"/>
    <w:rsid w:val="00C85C34"/>
    <w:rsid w:val="00C96350"/>
    <w:rsid w:val="00CA28AB"/>
    <w:rsid w:val="00CC7B37"/>
    <w:rsid w:val="00CC7E25"/>
    <w:rsid w:val="00CD0CBB"/>
    <w:rsid w:val="00CD559D"/>
    <w:rsid w:val="00CE05ED"/>
    <w:rsid w:val="00CE174C"/>
    <w:rsid w:val="00CE3CB6"/>
    <w:rsid w:val="00CF1C02"/>
    <w:rsid w:val="00CF7D64"/>
    <w:rsid w:val="00D178C8"/>
    <w:rsid w:val="00D17D5D"/>
    <w:rsid w:val="00D200B2"/>
    <w:rsid w:val="00D21B9A"/>
    <w:rsid w:val="00D41997"/>
    <w:rsid w:val="00D45853"/>
    <w:rsid w:val="00D508D3"/>
    <w:rsid w:val="00D5290E"/>
    <w:rsid w:val="00D623DE"/>
    <w:rsid w:val="00D63BB8"/>
    <w:rsid w:val="00D8080E"/>
    <w:rsid w:val="00D83195"/>
    <w:rsid w:val="00D841C8"/>
    <w:rsid w:val="00D85121"/>
    <w:rsid w:val="00D85B5F"/>
    <w:rsid w:val="00D873EE"/>
    <w:rsid w:val="00DA46DB"/>
    <w:rsid w:val="00DA7789"/>
    <w:rsid w:val="00DB1934"/>
    <w:rsid w:val="00DC1299"/>
    <w:rsid w:val="00DC4634"/>
    <w:rsid w:val="00DD1128"/>
    <w:rsid w:val="00DD1A68"/>
    <w:rsid w:val="00DF041E"/>
    <w:rsid w:val="00DF0840"/>
    <w:rsid w:val="00E02510"/>
    <w:rsid w:val="00E04474"/>
    <w:rsid w:val="00E0587A"/>
    <w:rsid w:val="00E14192"/>
    <w:rsid w:val="00E163D6"/>
    <w:rsid w:val="00E253DA"/>
    <w:rsid w:val="00E25E2C"/>
    <w:rsid w:val="00E31C38"/>
    <w:rsid w:val="00E372A4"/>
    <w:rsid w:val="00E4677D"/>
    <w:rsid w:val="00E50524"/>
    <w:rsid w:val="00E52001"/>
    <w:rsid w:val="00E53DE9"/>
    <w:rsid w:val="00E60064"/>
    <w:rsid w:val="00E65761"/>
    <w:rsid w:val="00E65B14"/>
    <w:rsid w:val="00E67E46"/>
    <w:rsid w:val="00E7042C"/>
    <w:rsid w:val="00E72575"/>
    <w:rsid w:val="00EA017F"/>
    <w:rsid w:val="00EA1316"/>
    <w:rsid w:val="00EA27BD"/>
    <w:rsid w:val="00EA3DFA"/>
    <w:rsid w:val="00EB261C"/>
    <w:rsid w:val="00EB5215"/>
    <w:rsid w:val="00EC2700"/>
    <w:rsid w:val="00ED0E10"/>
    <w:rsid w:val="00ED24EF"/>
    <w:rsid w:val="00ED6BC6"/>
    <w:rsid w:val="00EE0FEE"/>
    <w:rsid w:val="00EE4DDB"/>
    <w:rsid w:val="00EF13B5"/>
    <w:rsid w:val="00EF2A94"/>
    <w:rsid w:val="00EF330D"/>
    <w:rsid w:val="00F051BB"/>
    <w:rsid w:val="00F20736"/>
    <w:rsid w:val="00F31C7B"/>
    <w:rsid w:val="00F33A1D"/>
    <w:rsid w:val="00F36C63"/>
    <w:rsid w:val="00F37991"/>
    <w:rsid w:val="00F54163"/>
    <w:rsid w:val="00F56FFA"/>
    <w:rsid w:val="00F72063"/>
    <w:rsid w:val="00F72CC8"/>
    <w:rsid w:val="00F850D0"/>
    <w:rsid w:val="00F86E08"/>
    <w:rsid w:val="00F94034"/>
    <w:rsid w:val="00F942E9"/>
    <w:rsid w:val="00FA0B1B"/>
    <w:rsid w:val="00FA4B91"/>
    <w:rsid w:val="00FA4D7E"/>
    <w:rsid w:val="00FB4507"/>
    <w:rsid w:val="00FC2161"/>
    <w:rsid w:val="00FC63A1"/>
    <w:rsid w:val="00FD19D9"/>
    <w:rsid w:val="00FD1E26"/>
    <w:rsid w:val="00FD1EBF"/>
    <w:rsid w:val="00FD2EB6"/>
    <w:rsid w:val="00FD503F"/>
    <w:rsid w:val="00FD51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BD802"/>
  <w15:chartTrackingRefBased/>
  <w15:docId w15:val="{4A7693B1-503D-4B0A-99CF-7A2F87105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612ECF"/>
    <w:pPr>
      <w:ind w:left="720"/>
      <w:contextualSpacing/>
    </w:pPr>
  </w:style>
  <w:style w:type="paragraph" w:customStyle="1" w:styleId="doc-ti">
    <w:name w:val="doc-ti"/>
    <w:basedOn w:val="Normal"/>
    <w:rsid w:val="00724B8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CD0CBB"/>
    <w:rPr>
      <w:sz w:val="16"/>
      <w:szCs w:val="16"/>
    </w:rPr>
  </w:style>
  <w:style w:type="paragraph" w:styleId="CommentText">
    <w:name w:val="annotation text"/>
    <w:basedOn w:val="Normal"/>
    <w:link w:val="CommentTextChar"/>
    <w:uiPriority w:val="99"/>
    <w:unhideWhenUsed/>
    <w:rsid w:val="00CD0CBB"/>
    <w:pPr>
      <w:spacing w:line="240" w:lineRule="auto"/>
    </w:pPr>
    <w:rPr>
      <w:sz w:val="20"/>
      <w:szCs w:val="20"/>
    </w:rPr>
  </w:style>
  <w:style w:type="character" w:customStyle="1" w:styleId="CommentTextChar">
    <w:name w:val="Comment Text Char"/>
    <w:basedOn w:val="DefaultParagraphFont"/>
    <w:link w:val="CommentText"/>
    <w:uiPriority w:val="99"/>
    <w:rsid w:val="00CD0CBB"/>
    <w:rPr>
      <w:sz w:val="20"/>
      <w:szCs w:val="20"/>
    </w:rPr>
  </w:style>
  <w:style w:type="paragraph" w:styleId="CommentSubject">
    <w:name w:val="annotation subject"/>
    <w:basedOn w:val="CommentText"/>
    <w:next w:val="CommentText"/>
    <w:link w:val="CommentSubjectChar"/>
    <w:uiPriority w:val="99"/>
    <w:semiHidden/>
    <w:unhideWhenUsed/>
    <w:rsid w:val="00CD0CBB"/>
    <w:rPr>
      <w:b/>
      <w:bCs/>
    </w:rPr>
  </w:style>
  <w:style w:type="character" w:customStyle="1" w:styleId="CommentSubjectChar">
    <w:name w:val="Comment Subject Char"/>
    <w:basedOn w:val="CommentTextChar"/>
    <w:link w:val="CommentSubject"/>
    <w:uiPriority w:val="99"/>
    <w:semiHidden/>
    <w:rsid w:val="00CD0CBB"/>
    <w:rPr>
      <w:b/>
      <w:bCs/>
      <w:sz w:val="20"/>
      <w:szCs w:val="20"/>
    </w:rPr>
  </w:style>
  <w:style w:type="paragraph" w:styleId="Revision">
    <w:name w:val="Revision"/>
    <w:hidden/>
    <w:uiPriority w:val="99"/>
    <w:semiHidden/>
    <w:rsid w:val="009015D5"/>
    <w:pPr>
      <w:spacing w:after="0" w:line="240" w:lineRule="auto"/>
    </w:pPr>
  </w:style>
  <w:style w:type="character" w:styleId="Hyperlink">
    <w:name w:val="Hyperlink"/>
    <w:basedOn w:val="DefaultParagraphFont"/>
    <w:uiPriority w:val="99"/>
    <w:unhideWhenUsed/>
    <w:rsid w:val="003774D8"/>
    <w:rPr>
      <w:color w:val="0563C1" w:themeColor="hyperlink"/>
      <w:u w:val="single"/>
    </w:rPr>
  </w:style>
  <w:style w:type="character" w:styleId="UnresolvedMention">
    <w:name w:val="Unresolved Mention"/>
    <w:basedOn w:val="DefaultParagraphFont"/>
    <w:uiPriority w:val="99"/>
    <w:semiHidden/>
    <w:unhideWhenUsed/>
    <w:rsid w:val="003774D8"/>
    <w:rPr>
      <w:color w:val="605E5C"/>
      <w:shd w:val="clear" w:color="auto" w:fill="E1DFDD"/>
    </w:rPr>
  </w:style>
  <w:style w:type="character" w:customStyle="1" w:styleId="cf01">
    <w:name w:val="cf01"/>
    <w:basedOn w:val="DefaultParagraphFont"/>
    <w:rsid w:val="004F292F"/>
    <w:rPr>
      <w:rFonts w:ascii="Segoe UI" w:hAnsi="Segoe UI" w:cs="Segoe UI" w:hint="default"/>
      <w:sz w:val="18"/>
      <w:szCs w:val="18"/>
    </w:rPr>
  </w:style>
  <w:style w:type="table" w:styleId="TableGrid">
    <w:name w:val="Table Grid"/>
    <w:basedOn w:val="TableNormal"/>
    <w:uiPriority w:val="39"/>
    <w:rsid w:val="00117AEB"/>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7AEB"/>
    <w:rPr>
      <w:rFonts w:ascii="Segoe UI" w:hAnsi="Segoe UI" w:cs="Segoe UI" w:hint="default"/>
      <w:color w:val="333333"/>
      <w:sz w:val="18"/>
      <w:szCs w:val="18"/>
      <w:shd w:val="clear" w:color="auto" w:fill="FFFFFF"/>
    </w:rPr>
  </w:style>
  <w:style w:type="character" w:styleId="FollowedHyperlink">
    <w:name w:val="FollowedHyperlink"/>
    <w:basedOn w:val="DefaultParagraphFont"/>
    <w:uiPriority w:val="99"/>
    <w:semiHidden/>
    <w:unhideWhenUsed/>
    <w:rsid w:val="00700949"/>
    <w:rPr>
      <w:color w:val="954F72" w:themeColor="followedHyperlink"/>
      <w:u w:val="single"/>
    </w:rPr>
  </w:style>
  <w:style w:type="paragraph" w:customStyle="1" w:styleId="NApunkts1">
    <w:name w:val="NA punkts 1"/>
    <w:basedOn w:val="Normal"/>
    <w:link w:val="NApunkts1Rakstz"/>
    <w:qFormat/>
    <w:rsid w:val="001857D6"/>
    <w:pPr>
      <w:numPr>
        <w:numId w:val="14"/>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1857D6"/>
    <w:rPr>
      <w:rFonts w:ascii="Times New Roman" w:eastAsia="Times New Roman" w:hAnsi="Times New Roman" w:cs="Times New Roman"/>
      <w:sz w:val="24"/>
      <w:szCs w:val="24"/>
      <w:lang w:eastAsia="lv-LV"/>
    </w:rPr>
  </w:style>
  <w:style w:type="paragraph" w:customStyle="1" w:styleId="NApunkts2">
    <w:name w:val="NA punkts 2"/>
    <w:basedOn w:val="Normal"/>
    <w:qFormat/>
    <w:rsid w:val="001857D6"/>
    <w:pPr>
      <w:keepLines/>
      <w:numPr>
        <w:ilvl w:val="1"/>
        <w:numId w:val="14"/>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1857D6"/>
    <w:pPr>
      <w:keepLines/>
      <w:numPr>
        <w:ilvl w:val="2"/>
        <w:numId w:val="14"/>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1857D6"/>
    <w:pPr>
      <w:keepLines/>
      <w:numPr>
        <w:ilvl w:val="3"/>
        <w:numId w:val="14"/>
      </w:numPr>
      <w:spacing w:after="0" w:line="240" w:lineRule="auto"/>
      <w:jc w:val="both"/>
      <w:outlineLvl w:val="3"/>
    </w:pPr>
    <w:rPr>
      <w:rFonts w:ascii="Times New Roman" w:eastAsia="Times New Roman" w:hAnsi="Times New Roman" w:cs="Times New Roman"/>
      <w:sz w:val="24"/>
      <w:szCs w:val="24"/>
      <w:lang w:eastAsia="lv-LV"/>
    </w:rPr>
  </w:style>
  <w:style w:type="paragraph" w:customStyle="1" w:styleId="Default">
    <w:name w:val="Default"/>
    <w:rsid w:val="001857D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32418-ieguldijumu-brokeru-sabiedribu-likums" TargetMode="External"/><Relationship Id="rId18" Type="http://schemas.openxmlformats.org/officeDocument/2006/relationships/hyperlink" Target="https://extranet.eba.europa.eu/sites/default/documents/files/documents/10180/2537426/dec40fdc-8f54-4713-8d4b-bf34b4758ba2/Guidelines%20on%20institutions%20stress%20testing%20%28EBA-GL-2018-04%29_COR_LV.pdf?retry=1"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eba.europa.eu/sites/default/files/documents/10180/16106/c5f8b530-10df-476e-80da-9ec8e8b5d341/CEBS_2008_147_%28Advice%20on%20liquidity_2nd%20part%29%20final.pdf" TargetMode="External"/><Relationship Id="rId7" Type="http://schemas.openxmlformats.org/officeDocument/2006/relationships/settings" Target="settings.xml"/><Relationship Id="rId12" Type="http://schemas.openxmlformats.org/officeDocument/2006/relationships/hyperlink" Target="https://likumi.lv/ta/id/326575-latvijas-bankas-likums" TargetMode="External"/><Relationship Id="rId17" Type="http://schemas.openxmlformats.org/officeDocument/2006/relationships/hyperlink" Target="https://eur-lex.europa.eu/legal-content/LV/TXT/?uri=CELEX%3A02019L2034-20240109" TargetMode="External"/><Relationship Id="rId25" Type="http://schemas.openxmlformats.org/officeDocument/2006/relationships/hyperlink" Target="https://www.bank.lv/images/pielikumi/tiesibu-akti/projekti/NOT_KPNP.pdf" TargetMode="External"/><Relationship Id="rId2" Type="http://schemas.openxmlformats.org/officeDocument/2006/relationships/customXml" Target="../customXml/item2.xml"/><Relationship Id="rId16" Type="http://schemas.openxmlformats.org/officeDocument/2006/relationships/hyperlink" Target="https://eur-lex.europa.eu/legal-content/LV/TXT/?uri=CELEX%3A02013L0036-20240109" TargetMode="External"/><Relationship Id="rId20" Type="http://schemas.openxmlformats.org/officeDocument/2006/relationships/hyperlink" Target="https://www.eba.europa.eu/sites/default/documents/files/documents/10180/1748842/aa2944ce-ee3d-4c5c-a73b-259bd0dbc1fb/Guidelines%20on%20ICAAP%20ILAAP%20%28EBA-GL-2016-10%29_LV.pdf?retry=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7426-kreditiestazu-likums" TargetMode="External"/><Relationship Id="rId24" Type="http://schemas.openxmlformats.org/officeDocument/2006/relationships/hyperlink" Target="https://likumi.lv/ta/id/318511-kapitala-un-likviditates-pietiekamibas-novertesanas-procesa-izveides-normativie-noteikumi" TargetMode="External"/><Relationship Id="rId5" Type="http://schemas.openxmlformats.org/officeDocument/2006/relationships/numbering" Target="numbering.xml"/><Relationship Id="rId15" Type="http://schemas.openxmlformats.org/officeDocument/2006/relationships/hyperlink" Target="https://eur-lex.europa.eu/legal-content/LV/TXT/?uri=CELEX%3A02015R0061-20220708" TargetMode="External"/><Relationship Id="rId23" Type="http://schemas.openxmlformats.org/officeDocument/2006/relationships/hyperlink" Target="https://likumi.lv/ta/id/318641"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ba.europa.eu/sites/default/documents/files/document_library/Publications/Guidelines/2022/EBA-GL-2022-03%20Revised%20SREP%20Guidelines/Translations/1042373/Revised%20GL%20on%20SREP%20(EBA-GL-2022-03)%20-%20tracked%20-%20updated_LV_COR.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LV/TXT/PDF/?uri=CELEX:02013R0575-20230628" TargetMode="External"/><Relationship Id="rId22" Type="http://schemas.openxmlformats.org/officeDocument/2006/relationships/hyperlink" Target="https://likumi.lv/ta/id/336703-noteikumi-par-elektronisko-informacijas-apmainu-ar-latvijas-banku"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ankingsupervision.europa.eu/ecb/pub/pdf/ssm.ilaap_guide_201811.en.pdf" TargetMode="External"/><Relationship Id="rId1" Type="http://schemas.openxmlformats.org/officeDocument/2006/relationships/hyperlink" Target="https://www.eba.europa.eu/sites/default/files/documents/10180/16106/c5f8b530-10df-476e-80da-9ec8e8b5d341/CEBS_2008_147_%28Advice%20on%20liquidity_2nd%20part%29%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306276224A306C449E8282550241560B" ma:contentTypeVersion="4" ma:contentTypeDescription="Izveidot jaunu dokumentu." ma:contentTypeScope="" ma:versionID="2fc4fa0031d9836b858ec41c8e3fa23f">
  <xsd:schema xmlns:xsd="http://www.w3.org/2001/XMLSchema" xmlns:xs="http://www.w3.org/2001/XMLSchema" xmlns:p="http://schemas.microsoft.com/office/2006/metadata/properties" xmlns:ns2="3171b942-6fba-462d-8c07-2d36cda0e53d" targetNamespace="http://schemas.microsoft.com/office/2006/metadata/properties" ma:root="true" ma:fieldsID="40a2715de80f40374af890180bee846a" ns2:_="">
    <xsd:import namespace="3171b942-6fba-462d-8c07-2d36cda0e53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1b942-6fba-462d-8c07-2d36cda0e5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http://purl.org/dc/terms/"/>
    <ds:schemaRef ds:uri="http://purl.org/dc/dcmitype/"/>
    <ds:schemaRef ds:uri="3171b942-6fba-462d-8c07-2d36cda0e53d"/>
    <ds:schemaRef ds:uri="http://www.w3.org/XML/1998/namespace"/>
  </ds:schemaRefs>
</ds:datastoreItem>
</file>

<file path=customXml/itemProps4.xml><?xml version="1.0" encoding="utf-8"?>
<ds:datastoreItem xmlns:ds="http://schemas.openxmlformats.org/officeDocument/2006/customXml" ds:itemID="{FBF52DC4-8FCD-4609-A518-AB5EF3136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1b942-6fba-462d-8c07-2d36cda0e5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ANA_ANOTACIJA.dotx</Template>
  <TotalTime>11</TotalTime>
  <Pages>10</Pages>
  <Words>14985</Words>
  <Characters>8543</Characters>
  <Application>Microsoft Office Word</Application>
  <DocSecurity>0</DocSecurity>
  <Lines>71</Lines>
  <Paragraphs>46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Konstantīns Vorobjovs</dc:creator>
  <cp:keywords/>
  <dc:description/>
  <cp:lastModifiedBy>Ieva Utāne</cp:lastModifiedBy>
  <cp:revision>4</cp:revision>
  <cp:lastPrinted>2024-08-20T07:45:00Z</cp:lastPrinted>
  <dcterms:created xsi:type="dcterms:W3CDTF">2024-10-04T08:29:00Z</dcterms:created>
  <dcterms:modified xsi:type="dcterms:W3CDTF">2024-10-07T08:48:00Z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0x010100306276224A306C449E8282550241560B</vt:lpwstr>
  </property>
</Properties>
</file>