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B9306" w14:textId="5D69F0E2" w:rsidR="009B27BE" w:rsidRPr="00CA28AB" w:rsidRDefault="00CA28AB" w:rsidP="00920831">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Latvijas Bankas noteikumu projekta</w:t>
      </w:r>
      <w:r w:rsidR="00A467E6" w:rsidRPr="00A467E6">
        <w:rPr>
          <w:rFonts w:ascii="Times New Roman" w:hAnsi="Times New Roman" w:cs="Times New Roman"/>
          <w:b/>
          <w:bCs/>
          <w:sz w:val="24"/>
          <w:szCs w:val="24"/>
        </w:rPr>
        <w:br/>
        <w:t>"Informācijas tehnoloģiju un drošības risku pārvaldības noteikumi"</w:t>
      </w:r>
      <w:r w:rsidR="003B481B" w:rsidRPr="00A467E6">
        <w:rPr>
          <w:rFonts w:ascii="Times New Roman" w:hAnsi="Times New Roman" w:cs="Times New Roman"/>
          <w:b/>
          <w:bCs/>
          <w:sz w:val="24"/>
          <w:szCs w:val="24"/>
        </w:rPr>
        <w:t xml:space="preserve"> anotācija</w:t>
      </w:r>
    </w:p>
    <w:p w14:paraId="5571D551"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0CCF929A" w14:textId="77777777" w:rsidTr="00E253DA">
        <w:trPr>
          <w:trHeight w:val="567"/>
        </w:trPr>
        <w:tc>
          <w:tcPr>
            <w:tcW w:w="1796" w:type="pct"/>
            <w:shd w:val="clear" w:color="auto" w:fill="auto"/>
            <w:hideMark/>
          </w:tcPr>
          <w:p w14:paraId="0B1175C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37E0BFC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429A5EF" w14:textId="490D70FF" w:rsidR="00756E18" w:rsidRPr="00A467E6" w:rsidRDefault="00C11BC0" w:rsidP="00122050">
            <w:pPr>
              <w:spacing w:after="0" w:line="240" w:lineRule="auto"/>
              <w:jc w:val="both"/>
              <w:rPr>
                <w:rFonts w:ascii="Times New Roman" w:eastAsia="Times New Roman" w:hAnsi="Times New Roman" w:cs="Times New Roman"/>
                <w:sz w:val="24"/>
                <w:szCs w:val="24"/>
                <w:lang w:eastAsia="lv-LV"/>
              </w:rPr>
            </w:pPr>
            <w:r w:rsidRPr="00A467E6">
              <w:rPr>
                <w:rFonts w:ascii="Times New Roman" w:eastAsia="Times New Roman" w:hAnsi="Times New Roman" w:cs="Times New Roman"/>
                <w:sz w:val="24"/>
                <w:szCs w:val="24"/>
                <w:lang w:eastAsia="lv-LV"/>
              </w:rPr>
              <w:t>Informācijas tehnoloģiju un drošības risku pārvaldības noteikumi</w:t>
            </w:r>
          </w:p>
        </w:tc>
      </w:tr>
      <w:tr w:rsidR="000B4E0A" w:rsidRPr="000B4E0A" w14:paraId="35ADFED7" w14:textId="77777777" w:rsidTr="00E253DA">
        <w:trPr>
          <w:trHeight w:val="567"/>
        </w:trPr>
        <w:tc>
          <w:tcPr>
            <w:tcW w:w="1796" w:type="pct"/>
            <w:shd w:val="clear" w:color="auto" w:fill="auto"/>
            <w:hideMark/>
          </w:tcPr>
          <w:p w14:paraId="01503A96" w14:textId="23B4B696" w:rsidR="00CA28AB"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tc>
        <w:tc>
          <w:tcPr>
            <w:tcW w:w="3204" w:type="pct"/>
            <w:shd w:val="clear" w:color="auto" w:fill="auto"/>
          </w:tcPr>
          <w:p w14:paraId="7DE42D62" w14:textId="792126C3" w:rsidR="00E53DE9" w:rsidRPr="0050601C" w:rsidRDefault="00F81FE1"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Latvijas Bankas noteikumi</w:t>
            </w:r>
          </w:p>
        </w:tc>
      </w:tr>
      <w:tr w:rsidR="000B4E0A" w:rsidRPr="000B4E0A" w14:paraId="54127BC4" w14:textId="77777777" w:rsidTr="00E253DA">
        <w:trPr>
          <w:trHeight w:val="567"/>
        </w:trPr>
        <w:tc>
          <w:tcPr>
            <w:tcW w:w="1796" w:type="pct"/>
            <w:shd w:val="clear" w:color="auto" w:fill="auto"/>
            <w:hideMark/>
          </w:tcPr>
          <w:p w14:paraId="6F16553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46D1353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FC68050" w14:textId="63E79962" w:rsidR="00376C65" w:rsidRPr="00376C65" w:rsidRDefault="00376C65" w:rsidP="00122050">
            <w:pPr>
              <w:spacing w:after="0" w:line="240" w:lineRule="auto"/>
              <w:jc w:val="both"/>
              <w:rPr>
                <w:rFonts w:ascii="Times New Roman" w:eastAsia="Times New Roman" w:hAnsi="Times New Roman" w:cs="Times New Roman"/>
                <w:sz w:val="24"/>
                <w:szCs w:val="24"/>
                <w:lang w:eastAsia="lv-LV"/>
              </w:rPr>
            </w:pPr>
            <w:r w:rsidRPr="00376C65">
              <w:rPr>
                <w:rFonts w:ascii="Times New Roman" w:eastAsia="Times New Roman" w:hAnsi="Times New Roman" w:cs="Times New Roman"/>
                <w:sz w:val="24"/>
                <w:szCs w:val="24"/>
                <w:lang w:eastAsia="lv-LV"/>
              </w:rPr>
              <w:t>Apdrošināšanas un pārapdrošināšanas likuma 53. panta sestā daļa,</w:t>
            </w:r>
          </w:p>
          <w:p w14:paraId="5D3574A6" w14:textId="77777777" w:rsidR="00376C65" w:rsidRPr="00376C65" w:rsidRDefault="00376C65" w:rsidP="00122050">
            <w:pPr>
              <w:spacing w:after="0" w:line="240" w:lineRule="auto"/>
              <w:jc w:val="both"/>
              <w:rPr>
                <w:rFonts w:ascii="Times New Roman" w:eastAsia="Times New Roman" w:hAnsi="Times New Roman" w:cs="Times New Roman"/>
                <w:sz w:val="24"/>
                <w:szCs w:val="24"/>
                <w:lang w:eastAsia="lv-LV"/>
              </w:rPr>
            </w:pPr>
            <w:r w:rsidRPr="00376C65">
              <w:rPr>
                <w:rFonts w:ascii="Times New Roman" w:eastAsia="Times New Roman" w:hAnsi="Times New Roman" w:cs="Times New Roman"/>
                <w:sz w:val="24"/>
                <w:szCs w:val="24"/>
                <w:lang w:eastAsia="lv-LV"/>
              </w:rPr>
              <w:t>Finanšu instrumentu tirgus likuma 4.</w:t>
            </w:r>
            <w:r w:rsidRPr="00376C65">
              <w:rPr>
                <w:rFonts w:ascii="Times New Roman" w:eastAsia="Times New Roman" w:hAnsi="Times New Roman" w:cs="Times New Roman"/>
                <w:sz w:val="24"/>
                <w:szCs w:val="24"/>
                <w:vertAlign w:val="superscript"/>
                <w:lang w:eastAsia="lv-LV"/>
              </w:rPr>
              <w:t>2</w:t>
            </w:r>
            <w:r w:rsidRPr="00376C65">
              <w:rPr>
                <w:rFonts w:ascii="Times New Roman" w:eastAsia="Times New Roman" w:hAnsi="Times New Roman" w:cs="Times New Roman"/>
                <w:sz w:val="24"/>
                <w:szCs w:val="24"/>
                <w:lang w:eastAsia="lv-LV"/>
              </w:rPr>
              <w:t> pants,</w:t>
            </w:r>
          </w:p>
          <w:p w14:paraId="66C8DA3F" w14:textId="77777777" w:rsidR="00376C65" w:rsidRPr="00376C65" w:rsidRDefault="00376C65" w:rsidP="00122050">
            <w:pPr>
              <w:spacing w:after="0" w:line="240" w:lineRule="auto"/>
              <w:jc w:val="both"/>
              <w:rPr>
                <w:rFonts w:ascii="Times New Roman" w:eastAsia="Times New Roman" w:hAnsi="Times New Roman" w:cs="Times New Roman"/>
                <w:sz w:val="24"/>
                <w:szCs w:val="24"/>
                <w:lang w:eastAsia="lv-LV"/>
              </w:rPr>
            </w:pPr>
            <w:r w:rsidRPr="00376C65">
              <w:rPr>
                <w:rFonts w:ascii="Times New Roman" w:eastAsia="Times New Roman" w:hAnsi="Times New Roman" w:cs="Times New Roman"/>
                <w:sz w:val="24"/>
                <w:szCs w:val="24"/>
                <w:lang w:eastAsia="lv-LV"/>
              </w:rPr>
              <w:t>Ieguldījumu brokeru sabiedrību likuma 31. panta ceturtā daļa un 45. panta sestā daļa,</w:t>
            </w:r>
          </w:p>
          <w:p w14:paraId="426989D7" w14:textId="77777777" w:rsidR="00376C65" w:rsidRPr="00376C65" w:rsidRDefault="00376C65" w:rsidP="00122050">
            <w:pPr>
              <w:spacing w:after="0" w:line="240" w:lineRule="auto"/>
              <w:jc w:val="both"/>
              <w:rPr>
                <w:rFonts w:ascii="Times New Roman" w:eastAsia="Times New Roman" w:hAnsi="Times New Roman" w:cs="Times New Roman"/>
                <w:sz w:val="24"/>
                <w:szCs w:val="24"/>
                <w:lang w:eastAsia="lv-LV"/>
              </w:rPr>
            </w:pPr>
            <w:r w:rsidRPr="00376C65">
              <w:rPr>
                <w:rFonts w:ascii="Times New Roman" w:eastAsia="Times New Roman" w:hAnsi="Times New Roman" w:cs="Times New Roman"/>
                <w:sz w:val="24"/>
                <w:szCs w:val="24"/>
                <w:lang w:eastAsia="lv-LV"/>
              </w:rPr>
              <w:t>Ieguldījumu pārvaldes sabiedrību likuma 13. panta piecpadsmitā daļa,</w:t>
            </w:r>
          </w:p>
          <w:p w14:paraId="65D9C69C" w14:textId="77777777" w:rsidR="00376C65" w:rsidRPr="00376C65" w:rsidRDefault="00376C65" w:rsidP="00122050">
            <w:pPr>
              <w:spacing w:after="0" w:line="240" w:lineRule="auto"/>
              <w:jc w:val="both"/>
              <w:rPr>
                <w:rFonts w:ascii="Times New Roman" w:eastAsia="Times New Roman" w:hAnsi="Times New Roman" w:cs="Times New Roman"/>
                <w:sz w:val="24"/>
                <w:szCs w:val="24"/>
                <w:lang w:eastAsia="lv-LV"/>
              </w:rPr>
            </w:pPr>
            <w:proofErr w:type="spellStart"/>
            <w:r w:rsidRPr="00376C65">
              <w:rPr>
                <w:rFonts w:ascii="Times New Roman" w:eastAsia="Times New Roman" w:hAnsi="Times New Roman" w:cs="Times New Roman"/>
                <w:sz w:val="24"/>
                <w:szCs w:val="24"/>
                <w:lang w:eastAsia="lv-LV"/>
              </w:rPr>
              <w:t>Krājaizdevu</w:t>
            </w:r>
            <w:proofErr w:type="spellEnd"/>
            <w:r w:rsidRPr="00376C65">
              <w:rPr>
                <w:rFonts w:ascii="Times New Roman" w:eastAsia="Times New Roman" w:hAnsi="Times New Roman" w:cs="Times New Roman"/>
                <w:sz w:val="24"/>
                <w:szCs w:val="24"/>
                <w:lang w:eastAsia="lv-LV"/>
              </w:rPr>
              <w:t xml:space="preserve"> sabiedrību likuma 27. panta otrā daļa,</w:t>
            </w:r>
          </w:p>
          <w:p w14:paraId="6EA52FC7" w14:textId="77777777" w:rsidR="00376C65" w:rsidRPr="00376C65" w:rsidRDefault="00376C65" w:rsidP="00122050">
            <w:pPr>
              <w:spacing w:after="0" w:line="240" w:lineRule="auto"/>
              <w:jc w:val="both"/>
              <w:rPr>
                <w:rFonts w:ascii="Times New Roman" w:eastAsia="Times New Roman" w:hAnsi="Times New Roman" w:cs="Times New Roman"/>
                <w:sz w:val="24"/>
                <w:szCs w:val="24"/>
                <w:lang w:eastAsia="lv-LV"/>
              </w:rPr>
            </w:pPr>
            <w:r w:rsidRPr="00376C65">
              <w:rPr>
                <w:rFonts w:ascii="Times New Roman" w:eastAsia="Times New Roman" w:hAnsi="Times New Roman" w:cs="Times New Roman"/>
                <w:sz w:val="24"/>
                <w:szCs w:val="24"/>
                <w:lang w:eastAsia="lv-LV"/>
              </w:rPr>
              <w:t>Kredītiestāžu likuma 34.</w:t>
            </w:r>
            <w:r w:rsidRPr="00376C65">
              <w:rPr>
                <w:rFonts w:ascii="Times New Roman" w:eastAsia="Times New Roman" w:hAnsi="Times New Roman" w:cs="Times New Roman"/>
                <w:sz w:val="24"/>
                <w:szCs w:val="24"/>
                <w:vertAlign w:val="superscript"/>
                <w:lang w:eastAsia="lv-LV"/>
              </w:rPr>
              <w:t>1</w:t>
            </w:r>
            <w:r w:rsidRPr="00376C65">
              <w:rPr>
                <w:rFonts w:ascii="Times New Roman" w:eastAsia="Times New Roman" w:hAnsi="Times New Roman" w:cs="Times New Roman"/>
                <w:sz w:val="24"/>
                <w:szCs w:val="24"/>
                <w:lang w:eastAsia="lv-LV"/>
              </w:rPr>
              <w:t> panta otrā daļa un 50. panta trešā daļa,</w:t>
            </w:r>
          </w:p>
          <w:p w14:paraId="5226CEB7" w14:textId="77777777" w:rsidR="00376C65" w:rsidRPr="00376C65" w:rsidRDefault="00376C65" w:rsidP="00122050">
            <w:pPr>
              <w:spacing w:after="0" w:line="240" w:lineRule="auto"/>
              <w:jc w:val="both"/>
              <w:rPr>
                <w:rFonts w:ascii="Times New Roman" w:eastAsia="Times New Roman" w:hAnsi="Times New Roman" w:cs="Times New Roman"/>
                <w:sz w:val="24"/>
                <w:szCs w:val="24"/>
                <w:lang w:eastAsia="lv-LV"/>
              </w:rPr>
            </w:pPr>
            <w:r w:rsidRPr="00376C65">
              <w:rPr>
                <w:rFonts w:ascii="Times New Roman" w:eastAsia="Times New Roman" w:hAnsi="Times New Roman" w:cs="Times New Roman"/>
                <w:sz w:val="24"/>
                <w:szCs w:val="24"/>
                <w:lang w:eastAsia="lv-LV"/>
              </w:rPr>
              <w:t>Maksājumu pakalpojumu un elektroniskās naudas likuma 45. panta pirmā daļa un 104.</w:t>
            </w:r>
            <w:r w:rsidRPr="00376C65">
              <w:rPr>
                <w:rFonts w:ascii="Times New Roman" w:eastAsia="Times New Roman" w:hAnsi="Times New Roman" w:cs="Times New Roman"/>
                <w:sz w:val="24"/>
                <w:szCs w:val="24"/>
                <w:vertAlign w:val="superscript"/>
                <w:lang w:eastAsia="lv-LV"/>
              </w:rPr>
              <w:t>1</w:t>
            </w:r>
            <w:r w:rsidRPr="00376C65">
              <w:rPr>
                <w:rFonts w:ascii="Times New Roman" w:eastAsia="Times New Roman" w:hAnsi="Times New Roman" w:cs="Times New Roman"/>
                <w:sz w:val="24"/>
                <w:szCs w:val="24"/>
                <w:lang w:eastAsia="lv-LV"/>
              </w:rPr>
              <w:t> panta piektā daļa,</w:t>
            </w:r>
          </w:p>
          <w:p w14:paraId="62F45FF7" w14:textId="32718BD0" w:rsidR="00756E18" w:rsidRPr="0050601C" w:rsidRDefault="00376C65" w:rsidP="00122050">
            <w:pPr>
              <w:spacing w:after="0" w:line="240" w:lineRule="auto"/>
              <w:jc w:val="both"/>
              <w:rPr>
                <w:rFonts w:ascii="Times New Roman" w:eastAsia="Times New Roman" w:hAnsi="Times New Roman" w:cs="Times New Roman"/>
                <w:sz w:val="24"/>
                <w:szCs w:val="24"/>
                <w:lang w:eastAsia="lv-LV"/>
              </w:rPr>
            </w:pPr>
            <w:r w:rsidRPr="00376C65">
              <w:rPr>
                <w:rFonts w:ascii="Times New Roman" w:eastAsia="Times New Roman" w:hAnsi="Times New Roman" w:cs="Times New Roman"/>
                <w:sz w:val="24"/>
                <w:szCs w:val="24"/>
                <w:lang w:eastAsia="lv-LV"/>
              </w:rPr>
              <w:t>Privāto pensiju fondu likuma 20. panta trešā un sešpadsmitā daļa.</w:t>
            </w:r>
          </w:p>
        </w:tc>
      </w:tr>
      <w:tr w:rsidR="000B4E0A" w:rsidRPr="000B4E0A" w14:paraId="198146D7" w14:textId="77777777" w:rsidTr="00E253DA">
        <w:trPr>
          <w:trHeight w:val="567"/>
        </w:trPr>
        <w:tc>
          <w:tcPr>
            <w:tcW w:w="1796" w:type="pct"/>
            <w:shd w:val="clear" w:color="auto" w:fill="auto"/>
            <w:hideMark/>
          </w:tcPr>
          <w:p w14:paraId="642303C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2E544FD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9D8B3D7" w14:textId="77777777" w:rsidR="00382C83" w:rsidRPr="0050601C" w:rsidRDefault="00382C83" w:rsidP="00B27E38">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Noteikumu projekta mērķis ir ierobežot tirgus dalībnieku darbībai un klientiem sniegto pakalpojumu nodrošināšanai izmantojamo informācijas sistēmu riskus, kopumā tiecoties uz piesardzīgu IT un drošības risku pārvaldības līmeni, kā arī noteikt vienoti strukturētas prasības tirgus dalībnieku IT un drošības risku pārvaldībai.</w:t>
            </w:r>
          </w:p>
          <w:p w14:paraId="197819B2" w14:textId="3C5C46E8" w:rsidR="00382C83" w:rsidRPr="0050601C" w:rsidRDefault="00382C83"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IT regulējumā ir noteiktas trīs prioritātes: IT infrastruktūras un pakalpojumu noturība (</w:t>
            </w:r>
            <w:proofErr w:type="spellStart"/>
            <w:r w:rsidRPr="00BD391C">
              <w:rPr>
                <w:rFonts w:ascii="Times New Roman" w:eastAsia="Times New Roman" w:hAnsi="Times New Roman" w:cs="Times New Roman"/>
                <w:i/>
                <w:iCs/>
                <w:sz w:val="24"/>
                <w:szCs w:val="24"/>
                <w:lang w:eastAsia="lv-LV"/>
              </w:rPr>
              <w:t>digital</w:t>
            </w:r>
            <w:proofErr w:type="spellEnd"/>
            <w:r w:rsidRPr="00BD391C">
              <w:rPr>
                <w:rFonts w:ascii="Times New Roman" w:eastAsia="Times New Roman" w:hAnsi="Times New Roman" w:cs="Times New Roman"/>
                <w:i/>
                <w:iCs/>
                <w:sz w:val="24"/>
                <w:szCs w:val="24"/>
                <w:lang w:eastAsia="lv-LV"/>
              </w:rPr>
              <w:t xml:space="preserve"> </w:t>
            </w:r>
            <w:proofErr w:type="spellStart"/>
            <w:r w:rsidRPr="00BD391C">
              <w:rPr>
                <w:rFonts w:ascii="Times New Roman" w:eastAsia="Times New Roman" w:hAnsi="Times New Roman" w:cs="Times New Roman"/>
                <w:i/>
                <w:iCs/>
                <w:sz w:val="24"/>
                <w:szCs w:val="24"/>
                <w:lang w:eastAsia="lv-LV"/>
              </w:rPr>
              <w:t>operational</w:t>
            </w:r>
            <w:proofErr w:type="spellEnd"/>
            <w:r w:rsidRPr="00BD391C">
              <w:rPr>
                <w:rFonts w:ascii="Times New Roman" w:eastAsia="Times New Roman" w:hAnsi="Times New Roman" w:cs="Times New Roman"/>
                <w:i/>
                <w:iCs/>
                <w:sz w:val="24"/>
                <w:szCs w:val="24"/>
                <w:lang w:eastAsia="lv-LV"/>
              </w:rPr>
              <w:t xml:space="preserve"> </w:t>
            </w:r>
            <w:proofErr w:type="spellStart"/>
            <w:r w:rsidRPr="00BD391C">
              <w:rPr>
                <w:rFonts w:ascii="Times New Roman" w:eastAsia="Times New Roman" w:hAnsi="Times New Roman" w:cs="Times New Roman"/>
                <w:i/>
                <w:iCs/>
                <w:sz w:val="24"/>
                <w:szCs w:val="24"/>
                <w:lang w:eastAsia="lv-LV"/>
              </w:rPr>
              <w:t>resilience</w:t>
            </w:r>
            <w:proofErr w:type="spellEnd"/>
            <w:r w:rsidRPr="0050601C">
              <w:rPr>
                <w:rFonts w:ascii="Times New Roman" w:eastAsia="Times New Roman" w:hAnsi="Times New Roman" w:cs="Times New Roman"/>
                <w:sz w:val="24"/>
                <w:szCs w:val="24"/>
                <w:lang w:eastAsia="lv-LV"/>
              </w:rPr>
              <w:t xml:space="preserve">), </w:t>
            </w:r>
            <w:r w:rsidR="00A43135" w:rsidRPr="0050601C">
              <w:rPr>
                <w:rFonts w:ascii="Times New Roman" w:eastAsia="Times New Roman" w:hAnsi="Times New Roman" w:cs="Times New Roman"/>
                <w:sz w:val="24"/>
                <w:szCs w:val="24"/>
                <w:lang w:eastAsia="lv-LV"/>
              </w:rPr>
              <w:t>darbības</w:t>
            </w:r>
            <w:r w:rsidRPr="0050601C">
              <w:rPr>
                <w:rFonts w:ascii="Times New Roman" w:eastAsia="Times New Roman" w:hAnsi="Times New Roman" w:cs="Times New Roman"/>
                <w:sz w:val="24"/>
                <w:szCs w:val="24"/>
                <w:lang w:eastAsia="lv-LV"/>
              </w:rPr>
              <w:t xml:space="preserve"> nepārtrauktība un </w:t>
            </w:r>
            <w:proofErr w:type="spellStart"/>
            <w:r w:rsidRPr="0050601C">
              <w:rPr>
                <w:rFonts w:ascii="Times New Roman" w:eastAsia="Times New Roman" w:hAnsi="Times New Roman" w:cs="Times New Roman"/>
                <w:sz w:val="24"/>
                <w:szCs w:val="24"/>
                <w:lang w:eastAsia="lv-LV"/>
              </w:rPr>
              <w:t>kiberdrošība</w:t>
            </w:r>
            <w:proofErr w:type="spellEnd"/>
            <w:r w:rsidRPr="0050601C">
              <w:rPr>
                <w:rFonts w:ascii="Times New Roman" w:eastAsia="Times New Roman" w:hAnsi="Times New Roman" w:cs="Times New Roman"/>
                <w:sz w:val="24"/>
                <w:szCs w:val="24"/>
                <w:lang w:eastAsia="lv-LV"/>
              </w:rPr>
              <w:t xml:space="preserve">. Ar operacionālo un </w:t>
            </w:r>
            <w:proofErr w:type="spellStart"/>
            <w:r w:rsidRPr="0050601C">
              <w:rPr>
                <w:rFonts w:ascii="Times New Roman" w:eastAsia="Times New Roman" w:hAnsi="Times New Roman" w:cs="Times New Roman"/>
                <w:sz w:val="24"/>
                <w:szCs w:val="24"/>
                <w:lang w:eastAsia="lv-LV"/>
              </w:rPr>
              <w:t>kibernoturību</w:t>
            </w:r>
            <w:proofErr w:type="spellEnd"/>
            <w:r w:rsidRPr="0050601C">
              <w:rPr>
                <w:rFonts w:ascii="Times New Roman" w:eastAsia="Times New Roman" w:hAnsi="Times New Roman" w:cs="Times New Roman"/>
                <w:sz w:val="24"/>
                <w:szCs w:val="24"/>
                <w:lang w:eastAsia="lv-LV"/>
              </w:rPr>
              <w:t xml:space="preserve"> tiek saprasta informācijas sistēmu un tīklu spēja izturēt un spēt atjaunoties pēc tīšiem uzbrukumiem, negadījumiem vai incidentiem. </w:t>
            </w:r>
            <w:r w:rsidR="00A43135" w:rsidRPr="0050601C">
              <w:rPr>
                <w:rFonts w:ascii="Times New Roman" w:eastAsia="Times New Roman" w:hAnsi="Times New Roman" w:cs="Times New Roman"/>
                <w:sz w:val="24"/>
                <w:szCs w:val="24"/>
                <w:lang w:eastAsia="lv-LV"/>
              </w:rPr>
              <w:t>N</w:t>
            </w:r>
            <w:r w:rsidRPr="0050601C">
              <w:rPr>
                <w:rFonts w:ascii="Times New Roman" w:eastAsia="Times New Roman" w:hAnsi="Times New Roman" w:cs="Times New Roman"/>
                <w:sz w:val="24"/>
                <w:szCs w:val="24"/>
                <w:lang w:eastAsia="lv-LV"/>
              </w:rPr>
              <w:t>oteikumu projekt</w:t>
            </w:r>
            <w:r w:rsidR="00A43135" w:rsidRPr="0050601C">
              <w:rPr>
                <w:rFonts w:ascii="Times New Roman" w:eastAsia="Times New Roman" w:hAnsi="Times New Roman" w:cs="Times New Roman"/>
                <w:sz w:val="24"/>
                <w:szCs w:val="24"/>
                <w:lang w:eastAsia="lv-LV"/>
              </w:rPr>
              <w:t>s</w:t>
            </w:r>
            <w:r w:rsidRPr="0050601C">
              <w:rPr>
                <w:rFonts w:ascii="Times New Roman" w:eastAsia="Times New Roman" w:hAnsi="Times New Roman" w:cs="Times New Roman"/>
                <w:sz w:val="24"/>
                <w:szCs w:val="24"/>
                <w:lang w:eastAsia="lv-LV"/>
              </w:rPr>
              <w:t xml:space="preserve"> </w:t>
            </w:r>
            <w:r w:rsidR="00A43135" w:rsidRPr="0050601C">
              <w:rPr>
                <w:rFonts w:ascii="Times New Roman" w:eastAsia="Times New Roman" w:hAnsi="Times New Roman" w:cs="Times New Roman"/>
                <w:sz w:val="24"/>
                <w:szCs w:val="24"/>
                <w:lang w:eastAsia="lv-LV"/>
              </w:rPr>
              <w:t xml:space="preserve">pārņem un </w:t>
            </w:r>
            <w:r w:rsidRPr="0050601C">
              <w:rPr>
                <w:rFonts w:ascii="Times New Roman" w:eastAsia="Times New Roman" w:hAnsi="Times New Roman" w:cs="Times New Roman"/>
                <w:sz w:val="24"/>
                <w:szCs w:val="24"/>
                <w:lang w:eastAsia="lv-LV"/>
              </w:rPr>
              <w:t>ievie</w:t>
            </w:r>
            <w:r w:rsidR="00A43135" w:rsidRPr="0050601C">
              <w:rPr>
                <w:rFonts w:ascii="Times New Roman" w:eastAsia="Times New Roman" w:hAnsi="Times New Roman" w:cs="Times New Roman"/>
                <w:sz w:val="24"/>
                <w:szCs w:val="24"/>
                <w:lang w:eastAsia="lv-LV"/>
              </w:rPr>
              <w:t>š</w:t>
            </w:r>
            <w:r w:rsidRPr="0050601C">
              <w:rPr>
                <w:rFonts w:ascii="Times New Roman" w:eastAsia="Times New Roman" w:hAnsi="Times New Roman" w:cs="Times New Roman"/>
                <w:sz w:val="24"/>
                <w:szCs w:val="24"/>
                <w:lang w:eastAsia="lv-LV"/>
              </w:rPr>
              <w:t xml:space="preserve"> Eiropas Banku iestādes </w:t>
            </w:r>
            <w:r w:rsidR="00A43135" w:rsidRPr="0050601C">
              <w:rPr>
                <w:rFonts w:ascii="Times New Roman" w:eastAsia="Times New Roman" w:hAnsi="Times New Roman" w:cs="Times New Roman"/>
                <w:sz w:val="24"/>
                <w:szCs w:val="24"/>
                <w:lang w:eastAsia="lv-LV"/>
              </w:rPr>
              <w:t>p</w:t>
            </w:r>
            <w:r w:rsidRPr="0050601C">
              <w:rPr>
                <w:rFonts w:ascii="Times New Roman" w:eastAsia="Times New Roman" w:hAnsi="Times New Roman" w:cs="Times New Roman"/>
                <w:sz w:val="24"/>
                <w:szCs w:val="24"/>
                <w:lang w:eastAsia="lv-LV"/>
              </w:rPr>
              <w:t>amatnostādnes.</w:t>
            </w:r>
          </w:p>
          <w:p w14:paraId="2F7E8C4B" w14:textId="345AA61F" w:rsidR="00382C83" w:rsidRPr="0050601C" w:rsidRDefault="00382C83" w:rsidP="00B27E38">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 xml:space="preserve">Noteikumu projekts </w:t>
            </w:r>
            <w:r w:rsidR="00A43135" w:rsidRPr="0050601C">
              <w:rPr>
                <w:rFonts w:ascii="Times New Roman" w:eastAsia="Times New Roman" w:hAnsi="Times New Roman" w:cs="Times New Roman"/>
                <w:sz w:val="24"/>
                <w:szCs w:val="24"/>
                <w:lang w:eastAsia="lv-LV"/>
              </w:rPr>
              <w:t xml:space="preserve">attiecas uz </w:t>
            </w:r>
            <w:r w:rsidRPr="0050601C">
              <w:rPr>
                <w:rFonts w:ascii="Times New Roman" w:eastAsia="Times New Roman" w:hAnsi="Times New Roman" w:cs="Times New Roman"/>
                <w:sz w:val="24"/>
                <w:szCs w:val="24"/>
                <w:lang w:eastAsia="lv-LV"/>
              </w:rPr>
              <w:t>visiem Latvijā reģistrētiem vai licencētiem finanšu tirgus dalībniekiem, t.</w:t>
            </w:r>
            <w:r w:rsidR="00122050">
              <w:rPr>
                <w:rFonts w:ascii="Times New Roman" w:eastAsia="Times New Roman" w:hAnsi="Times New Roman" w:cs="Times New Roman"/>
                <w:sz w:val="24"/>
                <w:szCs w:val="24"/>
                <w:lang w:eastAsia="lv-LV"/>
              </w:rPr>
              <w:t> </w:t>
            </w:r>
            <w:r w:rsidRPr="0050601C">
              <w:rPr>
                <w:rFonts w:ascii="Times New Roman" w:eastAsia="Times New Roman" w:hAnsi="Times New Roman" w:cs="Times New Roman"/>
                <w:sz w:val="24"/>
                <w:szCs w:val="24"/>
                <w:lang w:eastAsia="lv-LV"/>
              </w:rPr>
              <w:t xml:space="preserve">sk. kredītiestādēm, </w:t>
            </w:r>
            <w:proofErr w:type="spellStart"/>
            <w:r w:rsidRPr="0050601C">
              <w:rPr>
                <w:rFonts w:ascii="Times New Roman" w:eastAsia="Times New Roman" w:hAnsi="Times New Roman" w:cs="Times New Roman"/>
                <w:sz w:val="24"/>
                <w:szCs w:val="24"/>
                <w:lang w:eastAsia="lv-LV"/>
              </w:rPr>
              <w:t>krājaizdevu</w:t>
            </w:r>
            <w:proofErr w:type="spellEnd"/>
            <w:r w:rsidRPr="0050601C">
              <w:rPr>
                <w:rFonts w:ascii="Times New Roman" w:eastAsia="Times New Roman" w:hAnsi="Times New Roman" w:cs="Times New Roman"/>
                <w:sz w:val="24"/>
                <w:szCs w:val="24"/>
                <w:lang w:eastAsia="lv-LV"/>
              </w:rPr>
              <w:t xml:space="preserve"> sabiedrībām, maksājumu iestādēm, elektroniskās naudas iestādēm, apdrošināšanas sabiedrībām, apdrošināšanas starpniekiem, privātajiem pensiju fondiem, regulētā tirgus organizētājiem, centrālajiem vērtspapīru depozitārijiem, ieguldījumu brokeru sabiedrībām, ieguldījumu pārvaldes sabiedrībām un alternatīvo ieguldījumu fondu pārvaldniekiem.</w:t>
            </w:r>
          </w:p>
          <w:p w14:paraId="315AA7D7" w14:textId="77777777" w:rsidR="00E53DE9" w:rsidRPr="0050601C" w:rsidRDefault="00382C83"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 xml:space="preserve">Ar noteikumu projektu citos Latvijas </w:t>
            </w:r>
            <w:r w:rsidR="00A43135" w:rsidRPr="0050601C">
              <w:rPr>
                <w:rFonts w:ascii="Times New Roman" w:eastAsia="Times New Roman" w:hAnsi="Times New Roman" w:cs="Times New Roman"/>
                <w:sz w:val="24"/>
                <w:szCs w:val="24"/>
                <w:lang w:eastAsia="lv-LV"/>
              </w:rPr>
              <w:t>B</w:t>
            </w:r>
            <w:r w:rsidRPr="0050601C">
              <w:rPr>
                <w:rFonts w:ascii="Times New Roman" w:eastAsia="Times New Roman" w:hAnsi="Times New Roman" w:cs="Times New Roman"/>
                <w:sz w:val="24"/>
                <w:szCs w:val="24"/>
                <w:lang w:eastAsia="lv-LV"/>
              </w:rPr>
              <w:t>ankas tiesību aktos noteiktās prasības netiek mainītas.</w:t>
            </w:r>
          </w:p>
          <w:p w14:paraId="0F86B8E4" w14:textId="14AB30A2" w:rsidR="00A43135" w:rsidRPr="0050601C" w:rsidRDefault="00A43135" w:rsidP="00122050">
            <w:pPr>
              <w:spacing w:after="0" w:line="240" w:lineRule="auto"/>
              <w:jc w:val="both"/>
              <w:rPr>
                <w:rFonts w:ascii="Times New Roman" w:hAnsi="Times New Roman" w:cs="Times New Roman"/>
                <w:sz w:val="24"/>
                <w:szCs w:val="24"/>
              </w:rPr>
            </w:pPr>
            <w:r w:rsidRPr="0050601C">
              <w:rPr>
                <w:rFonts w:ascii="Times New Roman" w:hAnsi="Times New Roman" w:cs="Times New Roman"/>
                <w:sz w:val="24"/>
                <w:szCs w:val="24"/>
              </w:rPr>
              <w:t xml:space="preserve">Šobrīd ir spēkā un </w:t>
            </w:r>
            <w:r w:rsidR="00804118" w:rsidRPr="0050601C">
              <w:rPr>
                <w:rFonts w:ascii="Times New Roman" w:hAnsi="Times New Roman" w:cs="Times New Roman"/>
                <w:sz w:val="24"/>
                <w:szCs w:val="24"/>
              </w:rPr>
              <w:t xml:space="preserve">finanšu nozari regulējošajos likumos ietverto deleģējumu informācijas tehnoloģiju un drošības risku pārvaldības jomā </w:t>
            </w:r>
            <w:r w:rsidRPr="0050601C">
              <w:rPr>
                <w:rFonts w:ascii="Times New Roman" w:hAnsi="Times New Roman" w:cs="Times New Roman"/>
                <w:sz w:val="24"/>
                <w:szCs w:val="24"/>
              </w:rPr>
              <w:t xml:space="preserve">izpilda Finanšu un kapitāla tirgus komisijas 2020. gada 8. septembra noteikumi Nr. 150 </w:t>
            </w:r>
            <w:r w:rsidRPr="0050601C">
              <w:rPr>
                <w:rFonts w:ascii="Times New Roman" w:hAnsi="Times New Roman" w:cs="Times New Roman"/>
                <w:sz w:val="24"/>
                <w:szCs w:val="24"/>
              </w:rPr>
              <w:lastRenderedPageBreak/>
              <w:t>"</w:t>
            </w:r>
            <w:r w:rsidRPr="00B27E38">
              <w:rPr>
                <w:rFonts w:ascii="Times New Roman" w:hAnsi="Times New Roman" w:cs="Times New Roman"/>
                <w:sz w:val="24"/>
                <w:szCs w:val="24"/>
              </w:rPr>
              <w:t>Informācijas tehnoloģiju un drošības risku pārvaldības normatīvie noteikumi</w:t>
            </w:r>
            <w:r w:rsidRPr="0050601C">
              <w:rPr>
                <w:rFonts w:ascii="Times New Roman" w:hAnsi="Times New Roman" w:cs="Times New Roman"/>
                <w:sz w:val="24"/>
                <w:szCs w:val="24"/>
              </w:rPr>
              <w:t>" (turpmāk – noteikumi Nr. 150</w:t>
            </w:r>
            <w:r w:rsidR="0010447C">
              <w:rPr>
                <w:rFonts w:ascii="Times New Roman" w:hAnsi="Times New Roman" w:cs="Times New Roman"/>
                <w:sz w:val="24"/>
                <w:szCs w:val="24"/>
              </w:rPr>
              <w:t>)</w:t>
            </w:r>
            <w:r w:rsidRPr="0050601C">
              <w:rPr>
                <w:rFonts w:ascii="Times New Roman" w:hAnsi="Times New Roman" w:cs="Times New Roman"/>
                <w:sz w:val="24"/>
                <w:szCs w:val="24"/>
              </w:rPr>
              <w:t>.</w:t>
            </w:r>
          </w:p>
          <w:p w14:paraId="3E6FC7FD" w14:textId="77777777" w:rsidR="00A43135" w:rsidRPr="0050601C" w:rsidRDefault="00A43135" w:rsidP="00122050">
            <w:pPr>
              <w:spacing w:after="0" w:line="240" w:lineRule="auto"/>
              <w:jc w:val="both"/>
              <w:rPr>
                <w:rFonts w:ascii="Times New Roman" w:hAnsi="Times New Roman" w:cs="Times New Roman"/>
                <w:sz w:val="24"/>
                <w:szCs w:val="24"/>
              </w:rPr>
            </w:pPr>
          </w:p>
          <w:p w14:paraId="6158017C" w14:textId="77777777" w:rsidR="00A43135" w:rsidRPr="0050601C" w:rsidRDefault="00A43135" w:rsidP="00122050">
            <w:pPr>
              <w:spacing w:after="0" w:line="240" w:lineRule="auto"/>
              <w:jc w:val="both"/>
              <w:rPr>
                <w:rFonts w:ascii="Times New Roman" w:hAnsi="Times New Roman" w:cs="Times New Roman"/>
                <w:sz w:val="24"/>
                <w:szCs w:val="24"/>
              </w:rPr>
            </w:pPr>
            <w:r w:rsidRPr="0050601C">
              <w:rPr>
                <w:rFonts w:ascii="Times New Roman" w:hAnsi="Times New Roman" w:cs="Times New Roman"/>
                <w:sz w:val="24"/>
                <w:szCs w:val="24"/>
              </w:rPr>
              <w:t xml:space="preserve">Savukārt saskaņā ar Latvijas Bankas likuma pārejas noteikumu 3. punktu </w:t>
            </w:r>
            <w:r w:rsidRPr="0050601C">
              <w:rPr>
                <w:rFonts w:ascii="Times New Roman" w:hAnsi="Times New Roman" w:cs="Times New Roman"/>
                <w:sz w:val="24"/>
                <w:szCs w:val="24"/>
                <w:shd w:val="clear" w:color="auto" w:fill="FFFFFF"/>
              </w:rPr>
              <w:t>Finanšu un kapitāla tirgus komisijas ārējie normatīvie akti, kas izdoti līdz 2022. gada 31. decembrim, piemērojami līdz dienai, kad stājas spēkā attiecīgie Latvijas Bankas ārējie normatīvie akti, bet ne ilgāk kā līdz 2024. gada 31. decembrim.</w:t>
            </w:r>
          </w:p>
          <w:p w14:paraId="083DE451" w14:textId="77777777" w:rsidR="00A43135" w:rsidRPr="0050601C" w:rsidRDefault="00A43135" w:rsidP="00122050">
            <w:pPr>
              <w:spacing w:after="0" w:line="240" w:lineRule="auto"/>
              <w:jc w:val="both"/>
              <w:rPr>
                <w:rFonts w:ascii="Times New Roman" w:eastAsia="Times New Roman" w:hAnsi="Times New Roman" w:cs="Times New Roman"/>
                <w:sz w:val="24"/>
                <w:szCs w:val="24"/>
                <w:lang w:eastAsia="lv-LV"/>
              </w:rPr>
            </w:pPr>
          </w:p>
          <w:p w14:paraId="496CAAFA" w14:textId="06ED9AF0" w:rsidR="00A43135" w:rsidRPr="0050601C" w:rsidRDefault="00A43135"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hAnsi="Times New Roman" w:cs="Times New Roman"/>
                <w:sz w:val="24"/>
                <w:szCs w:val="24"/>
              </w:rPr>
              <w:t>Ņemot vērā minēto, Latvijas Banka ir izstrādājusi noteikumu projektu "</w:t>
            </w:r>
            <w:r w:rsidRPr="00B27E38">
              <w:rPr>
                <w:rFonts w:ascii="Times New Roman" w:eastAsia="Times New Roman" w:hAnsi="Times New Roman" w:cs="Times New Roman"/>
                <w:sz w:val="24"/>
                <w:szCs w:val="24"/>
                <w:lang w:eastAsia="lv-LV"/>
              </w:rPr>
              <w:t>Informācijas tehnoloģiju un drošības risku pārvaldības noteikumi</w:t>
            </w:r>
            <w:r w:rsidRPr="0050601C">
              <w:rPr>
                <w:rFonts w:ascii="Times New Roman" w:hAnsi="Times New Roman" w:cs="Times New Roman"/>
                <w:sz w:val="24"/>
                <w:szCs w:val="24"/>
              </w:rPr>
              <w:t>" (turpmāk – noteikumu projekts), kas aizstās Noteikumus Nr. 150</w:t>
            </w:r>
            <w:r w:rsidRPr="0050601C">
              <w:rPr>
                <w:rFonts w:ascii="Times New Roman" w:eastAsia="Times New Roman" w:hAnsi="Times New Roman" w:cs="Times New Roman"/>
                <w:sz w:val="24"/>
                <w:szCs w:val="24"/>
                <w:lang w:eastAsia="lv-LV"/>
              </w:rPr>
              <w:t>.</w:t>
            </w:r>
          </w:p>
          <w:p w14:paraId="1ABF0F36" w14:textId="77777777" w:rsidR="00A43135" w:rsidRPr="0050601C" w:rsidRDefault="00A43135" w:rsidP="00122050">
            <w:pPr>
              <w:spacing w:after="0" w:line="240" w:lineRule="auto"/>
              <w:jc w:val="both"/>
              <w:rPr>
                <w:rFonts w:ascii="Times New Roman" w:eastAsia="Times New Roman" w:hAnsi="Times New Roman" w:cs="Times New Roman"/>
                <w:sz w:val="24"/>
                <w:szCs w:val="24"/>
                <w:lang w:eastAsia="lv-LV"/>
              </w:rPr>
            </w:pPr>
          </w:p>
          <w:p w14:paraId="41B685FB" w14:textId="604C37E5" w:rsidR="00A43135" w:rsidRPr="0050601C" w:rsidRDefault="00A43135"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Savukārt 2022. gada 14. decembrī pieņemta Eiropas Parlamenta un Padomes regula (ES) 2022/2554 par finanšu nozares digitālās darbības noturību un ar ko groza Regulas (EK) Nr. 1060/2009, (ES) Nr. 648/2012, (ES) Nr. 600/2014, (ES) Nr. 909/2014 un (ES) 2016/1011, kuru piemēros no 2025. gada 17. janvāra. Šī Eiropas Savienības tieši piemērojamā tiesību akta prasības aizstās to jautājumu regulējumu, ko atrunā noteikumu projekts.</w:t>
            </w:r>
          </w:p>
          <w:p w14:paraId="5664BB93" w14:textId="77777777" w:rsidR="00A43135" w:rsidRPr="0050601C" w:rsidRDefault="00A43135" w:rsidP="00122050">
            <w:pPr>
              <w:spacing w:after="0" w:line="240" w:lineRule="auto"/>
              <w:jc w:val="both"/>
              <w:rPr>
                <w:rFonts w:ascii="Times New Roman" w:eastAsia="Times New Roman" w:hAnsi="Times New Roman" w:cs="Times New Roman"/>
                <w:sz w:val="24"/>
                <w:szCs w:val="24"/>
                <w:lang w:eastAsia="lv-LV"/>
              </w:rPr>
            </w:pPr>
          </w:p>
          <w:p w14:paraId="7386E80E" w14:textId="5D481C46" w:rsidR="00A43135" w:rsidRPr="0050601C" w:rsidRDefault="00A43135"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 xml:space="preserve">Ņemot vērā, ka starp 2025. gada 1. un 17. janvāri </w:t>
            </w:r>
            <w:r w:rsidR="00FD08BE" w:rsidRPr="0050601C">
              <w:rPr>
                <w:rFonts w:ascii="Times New Roman" w:eastAsia="Times New Roman" w:hAnsi="Times New Roman" w:cs="Times New Roman"/>
                <w:sz w:val="24"/>
                <w:szCs w:val="24"/>
                <w:lang w:eastAsia="lv-LV"/>
              </w:rPr>
              <w:t xml:space="preserve">formāli varētu rasties normatīvā regulējuma pārrāvums, lai nodrošinātu tiesisko stabilitāti un skaidrību par piemērojamo regulējumu, ir jāizdod </w:t>
            </w:r>
            <w:r w:rsidR="002A42B0" w:rsidRPr="0050601C">
              <w:rPr>
                <w:rFonts w:ascii="Times New Roman" w:eastAsia="Times New Roman" w:hAnsi="Times New Roman" w:cs="Times New Roman"/>
                <w:sz w:val="24"/>
                <w:szCs w:val="24"/>
                <w:lang w:eastAsia="lv-LV"/>
              </w:rPr>
              <w:t xml:space="preserve">laikā terminēts </w:t>
            </w:r>
            <w:r w:rsidR="00FD08BE" w:rsidRPr="0050601C">
              <w:rPr>
                <w:rFonts w:ascii="Times New Roman" w:eastAsia="Times New Roman" w:hAnsi="Times New Roman" w:cs="Times New Roman"/>
                <w:sz w:val="24"/>
                <w:szCs w:val="24"/>
                <w:lang w:eastAsia="lv-LV"/>
              </w:rPr>
              <w:t>noteikumu projekts.</w:t>
            </w:r>
          </w:p>
        </w:tc>
      </w:tr>
      <w:tr w:rsidR="000B4E0A" w:rsidRPr="000B4E0A" w14:paraId="22292944" w14:textId="77777777" w:rsidTr="00E253DA">
        <w:trPr>
          <w:trHeight w:val="567"/>
        </w:trPr>
        <w:tc>
          <w:tcPr>
            <w:tcW w:w="1796" w:type="pct"/>
            <w:shd w:val="clear" w:color="auto" w:fill="auto"/>
            <w:hideMark/>
          </w:tcPr>
          <w:p w14:paraId="0F87735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5A614E50"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309EDDA" w14:textId="04431C63" w:rsidR="002A42B0" w:rsidRPr="0050601C" w:rsidRDefault="002A42B0"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Noteikumi konkretizē likumdevēja noteikto deleģējumu, tādējādi noteikumu leģitīmais mērķis vispirms izsvērts, pieņemot finanšu nozari regulējošos likumus, kuros šādu prasību detalizācija jau vispārīgi paredzēta.</w:t>
            </w:r>
          </w:p>
          <w:p w14:paraId="62062E40" w14:textId="0D284768" w:rsidR="00756E18" w:rsidRPr="0050601C" w:rsidRDefault="00FD08BE"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Noteikumu projekta leģitīmais mērķis ir efektīvu IT un drošības risk</w:t>
            </w:r>
            <w:r w:rsidR="003244DB" w:rsidRPr="0050601C">
              <w:rPr>
                <w:rFonts w:ascii="Times New Roman" w:eastAsia="Times New Roman" w:hAnsi="Times New Roman" w:cs="Times New Roman"/>
                <w:sz w:val="24"/>
                <w:szCs w:val="24"/>
                <w:lang w:eastAsia="lv-LV"/>
              </w:rPr>
              <w:t>u</w:t>
            </w:r>
            <w:r w:rsidRPr="0050601C">
              <w:rPr>
                <w:rFonts w:ascii="Times New Roman" w:eastAsia="Times New Roman" w:hAnsi="Times New Roman" w:cs="Times New Roman"/>
                <w:sz w:val="24"/>
                <w:szCs w:val="24"/>
                <w:lang w:eastAsia="lv-LV"/>
              </w:rPr>
              <w:t xml:space="preserve"> novērtējum</w:t>
            </w:r>
            <w:r w:rsidR="003244DB" w:rsidRPr="0050601C">
              <w:rPr>
                <w:rFonts w:ascii="Times New Roman" w:eastAsia="Times New Roman" w:hAnsi="Times New Roman" w:cs="Times New Roman"/>
                <w:sz w:val="24"/>
                <w:szCs w:val="24"/>
                <w:lang w:eastAsia="lv-LV"/>
              </w:rPr>
              <w:t>s</w:t>
            </w:r>
            <w:r w:rsidRPr="0050601C">
              <w:rPr>
                <w:rFonts w:ascii="Times New Roman" w:eastAsia="Times New Roman" w:hAnsi="Times New Roman" w:cs="Times New Roman"/>
                <w:sz w:val="24"/>
                <w:szCs w:val="24"/>
                <w:lang w:eastAsia="lv-LV"/>
              </w:rPr>
              <w:t xml:space="preserve"> un nepieciešamo risku mazināšanas pasākumu</w:t>
            </w:r>
            <w:r w:rsidR="003244DB" w:rsidRPr="0050601C">
              <w:rPr>
                <w:rFonts w:ascii="Times New Roman" w:eastAsia="Times New Roman" w:hAnsi="Times New Roman" w:cs="Times New Roman"/>
                <w:sz w:val="24"/>
                <w:szCs w:val="24"/>
                <w:lang w:eastAsia="lv-LV"/>
              </w:rPr>
              <w:t xml:space="preserve"> piemērošana, tādējādi aizsargājot gan finanšu tirgus dalībnieku, gan to klientu tiesiskās intereses</w:t>
            </w:r>
            <w:r w:rsidRPr="0050601C">
              <w:rPr>
                <w:rFonts w:ascii="Times New Roman" w:eastAsia="Times New Roman" w:hAnsi="Times New Roman" w:cs="Times New Roman"/>
                <w:sz w:val="24"/>
                <w:szCs w:val="24"/>
                <w:lang w:eastAsia="lv-LV"/>
              </w:rPr>
              <w:t>. Nosakot vienotas prasības IT un drošības pārvaldībai, tiek uzlabota IT procesu vadība un drošība, kā rezultātā kopumā tiek nodrošināta ieguldītāju un noguldītāju interešu aizsardzība un veicināta finanšu tirgus stabilitāte</w:t>
            </w:r>
            <w:r w:rsidR="003244DB" w:rsidRPr="0050601C">
              <w:rPr>
                <w:rFonts w:ascii="Times New Roman" w:eastAsia="Times New Roman" w:hAnsi="Times New Roman" w:cs="Times New Roman"/>
                <w:sz w:val="24"/>
                <w:szCs w:val="24"/>
                <w:lang w:eastAsia="lv-LV"/>
              </w:rPr>
              <w:t>,</w:t>
            </w:r>
            <w:r w:rsidRPr="0050601C">
              <w:rPr>
                <w:rFonts w:ascii="Times New Roman" w:eastAsia="Times New Roman" w:hAnsi="Times New Roman" w:cs="Times New Roman"/>
                <w:sz w:val="24"/>
                <w:szCs w:val="24"/>
                <w:lang w:eastAsia="lv-LV"/>
              </w:rPr>
              <w:t xml:space="preserve"> attīstība</w:t>
            </w:r>
            <w:r w:rsidR="003244DB" w:rsidRPr="0050601C">
              <w:rPr>
                <w:rFonts w:ascii="Times New Roman" w:eastAsia="Times New Roman" w:hAnsi="Times New Roman" w:cs="Times New Roman"/>
                <w:sz w:val="24"/>
                <w:szCs w:val="24"/>
                <w:lang w:eastAsia="lv-LV"/>
              </w:rPr>
              <w:t xml:space="preserve"> un drošība. Līdz ar to noteikumu projekta leģitīmais mērķis – sabiedrības labklājības un personas</w:t>
            </w:r>
            <w:r w:rsidR="002A42B0" w:rsidRPr="0050601C">
              <w:rPr>
                <w:rFonts w:ascii="Times New Roman" w:eastAsia="Times New Roman" w:hAnsi="Times New Roman" w:cs="Times New Roman"/>
                <w:sz w:val="24"/>
                <w:szCs w:val="24"/>
                <w:lang w:eastAsia="lv-LV"/>
              </w:rPr>
              <w:t xml:space="preserve"> </w:t>
            </w:r>
            <w:r w:rsidR="003244DB" w:rsidRPr="0050601C">
              <w:rPr>
                <w:rFonts w:ascii="Times New Roman" w:eastAsia="Times New Roman" w:hAnsi="Times New Roman" w:cs="Times New Roman"/>
                <w:sz w:val="24"/>
                <w:szCs w:val="24"/>
                <w:lang w:eastAsia="lv-LV"/>
              </w:rPr>
              <w:t>interešu aizsardzība.</w:t>
            </w:r>
          </w:p>
        </w:tc>
      </w:tr>
      <w:tr w:rsidR="000B4E0A" w:rsidRPr="000B4E0A" w14:paraId="693FDF2D" w14:textId="77777777" w:rsidTr="00E253DA">
        <w:trPr>
          <w:trHeight w:val="567"/>
        </w:trPr>
        <w:tc>
          <w:tcPr>
            <w:tcW w:w="1796" w:type="pct"/>
            <w:shd w:val="clear" w:color="auto" w:fill="auto"/>
            <w:hideMark/>
          </w:tcPr>
          <w:p w14:paraId="2020CB4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252337C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786A999" w14:textId="19062BF6" w:rsidR="002D125F" w:rsidRPr="0050601C" w:rsidRDefault="002D125F"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 xml:space="preserve">Noteikumu projektā minēto prasību ieviešanā ir jāievēro proporcionalitātes princips un uz risku </w:t>
            </w:r>
            <w:proofErr w:type="spellStart"/>
            <w:r w:rsidRPr="0050601C">
              <w:rPr>
                <w:rFonts w:ascii="Times New Roman" w:eastAsia="Times New Roman" w:hAnsi="Times New Roman" w:cs="Times New Roman"/>
                <w:sz w:val="24"/>
                <w:szCs w:val="24"/>
                <w:lang w:eastAsia="lv-LV"/>
              </w:rPr>
              <w:t>izvērtējumu</w:t>
            </w:r>
            <w:proofErr w:type="spellEnd"/>
            <w:r w:rsidRPr="0050601C">
              <w:rPr>
                <w:rFonts w:ascii="Times New Roman" w:eastAsia="Times New Roman" w:hAnsi="Times New Roman" w:cs="Times New Roman"/>
                <w:sz w:val="24"/>
                <w:szCs w:val="24"/>
                <w:lang w:eastAsia="lv-LV"/>
              </w:rPr>
              <w:t xml:space="preserve"> balstīta pieeja, ņemot vērā konkrētā tirgus dalībnieka lielumu, darbības jomu, sarežģītību, riska pakāpi un pakalpojumus, kurus tas sniedz vai plāno sniegt. Ņemot vērā, ka tirgus dalībnieki ieviesīs vienotus drošības pasākumus IT un drošības risku mazināšanai, klientu interešu aizsardzība </w:t>
            </w:r>
            <w:r w:rsidRPr="0050601C">
              <w:rPr>
                <w:rFonts w:ascii="Times New Roman" w:eastAsia="Times New Roman" w:hAnsi="Times New Roman" w:cs="Times New Roman"/>
                <w:sz w:val="24"/>
                <w:szCs w:val="24"/>
                <w:lang w:eastAsia="lv-LV"/>
              </w:rPr>
              <w:lastRenderedPageBreak/>
              <w:t>tiks uzlabota. Līdz ar to noteikumu projekts ir piemērots leģitīmā mērķa sasniegšanai, t.</w:t>
            </w:r>
            <w:r w:rsidR="00122050">
              <w:rPr>
                <w:rFonts w:ascii="Times New Roman" w:eastAsia="Times New Roman" w:hAnsi="Times New Roman" w:cs="Times New Roman"/>
                <w:sz w:val="24"/>
                <w:szCs w:val="24"/>
                <w:lang w:eastAsia="lv-LV"/>
              </w:rPr>
              <w:t> </w:t>
            </w:r>
            <w:r w:rsidRPr="0050601C">
              <w:rPr>
                <w:rFonts w:ascii="Times New Roman" w:eastAsia="Times New Roman" w:hAnsi="Times New Roman" w:cs="Times New Roman"/>
                <w:sz w:val="24"/>
                <w:szCs w:val="24"/>
                <w:lang w:eastAsia="lv-LV"/>
              </w:rPr>
              <w:t>sk. pakalpojumu drošības līmeņa paaugstināšanai finanšu tirgū.</w:t>
            </w:r>
          </w:p>
          <w:p w14:paraId="34254B25" w14:textId="54031DEF" w:rsidR="002D125F" w:rsidRPr="0050601C" w:rsidRDefault="002D125F"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 xml:space="preserve">Izraugoties piemērotāko līdzekli leģitīmā mērķa sasniegšanai, </w:t>
            </w:r>
            <w:r w:rsidR="002A42B0" w:rsidRPr="0050601C">
              <w:rPr>
                <w:rFonts w:ascii="Times New Roman" w:eastAsia="Times New Roman" w:hAnsi="Times New Roman" w:cs="Times New Roman"/>
                <w:sz w:val="24"/>
                <w:szCs w:val="24"/>
                <w:lang w:eastAsia="lv-LV"/>
              </w:rPr>
              <w:t>Latvijas Banka</w:t>
            </w:r>
            <w:r w:rsidRPr="0050601C">
              <w:rPr>
                <w:rFonts w:ascii="Times New Roman" w:eastAsia="Times New Roman" w:hAnsi="Times New Roman" w:cs="Times New Roman"/>
                <w:sz w:val="24"/>
                <w:szCs w:val="24"/>
                <w:lang w:eastAsia="lv-LV"/>
              </w:rPr>
              <w:t xml:space="preserve"> izvērtēja, ka nebūtu atbilstoši izdot, piemēram, zemāka ranga normatīvos aktus, kuri nebūtu iestādei juridiski saistoši (ieteikumi)</w:t>
            </w:r>
            <w:r w:rsidR="002A42B0" w:rsidRPr="0050601C">
              <w:rPr>
                <w:rFonts w:ascii="Times New Roman" w:eastAsia="Times New Roman" w:hAnsi="Times New Roman" w:cs="Times New Roman"/>
                <w:sz w:val="24"/>
                <w:szCs w:val="24"/>
                <w:lang w:eastAsia="lv-LV"/>
              </w:rPr>
              <w:t>, turklāt arī</w:t>
            </w:r>
            <w:r w:rsidRPr="0050601C">
              <w:rPr>
                <w:rFonts w:ascii="Times New Roman" w:eastAsia="Times New Roman" w:hAnsi="Times New Roman" w:cs="Times New Roman"/>
                <w:sz w:val="24"/>
                <w:szCs w:val="24"/>
                <w:lang w:eastAsia="lv-LV"/>
              </w:rPr>
              <w:t xml:space="preserve"> </w:t>
            </w:r>
            <w:r w:rsidR="002A42B0" w:rsidRPr="0050601C">
              <w:rPr>
                <w:rFonts w:ascii="Times New Roman" w:eastAsia="Times New Roman" w:hAnsi="Times New Roman" w:cs="Times New Roman"/>
                <w:sz w:val="24"/>
                <w:szCs w:val="24"/>
                <w:lang w:eastAsia="lv-LV"/>
              </w:rPr>
              <w:t>n</w:t>
            </w:r>
            <w:r w:rsidRPr="0050601C">
              <w:rPr>
                <w:rFonts w:ascii="Times New Roman" w:eastAsia="Times New Roman" w:hAnsi="Times New Roman" w:cs="Times New Roman"/>
                <w:sz w:val="24"/>
                <w:szCs w:val="24"/>
                <w:lang w:eastAsia="lv-LV"/>
              </w:rPr>
              <w:t xml:space="preserve">oteikumu </w:t>
            </w:r>
            <w:r w:rsidR="002A42B0" w:rsidRPr="0050601C">
              <w:rPr>
                <w:rFonts w:ascii="Times New Roman" w:eastAsia="Times New Roman" w:hAnsi="Times New Roman" w:cs="Times New Roman"/>
                <w:sz w:val="24"/>
                <w:szCs w:val="24"/>
                <w:lang w:eastAsia="lv-LV"/>
              </w:rPr>
              <w:t>izdošanas</w:t>
            </w:r>
            <w:r w:rsidRPr="0050601C">
              <w:rPr>
                <w:rFonts w:ascii="Times New Roman" w:eastAsia="Times New Roman" w:hAnsi="Times New Roman" w:cs="Times New Roman"/>
                <w:sz w:val="24"/>
                <w:szCs w:val="24"/>
                <w:lang w:eastAsia="lv-LV"/>
              </w:rPr>
              <w:t xml:space="preserve"> pilnvaroj</w:t>
            </w:r>
            <w:r w:rsidR="002A42B0" w:rsidRPr="0050601C">
              <w:rPr>
                <w:rFonts w:ascii="Times New Roman" w:eastAsia="Times New Roman" w:hAnsi="Times New Roman" w:cs="Times New Roman"/>
                <w:sz w:val="24"/>
                <w:szCs w:val="24"/>
                <w:lang w:eastAsia="lv-LV"/>
              </w:rPr>
              <w:t>ums</w:t>
            </w:r>
            <w:r w:rsidRPr="0050601C">
              <w:rPr>
                <w:rFonts w:ascii="Times New Roman" w:eastAsia="Times New Roman" w:hAnsi="Times New Roman" w:cs="Times New Roman"/>
                <w:sz w:val="24"/>
                <w:szCs w:val="24"/>
                <w:lang w:eastAsia="lv-LV"/>
              </w:rPr>
              <w:t xml:space="preserve"> skaidri norāda uz </w:t>
            </w:r>
            <w:r w:rsidR="002A42B0" w:rsidRPr="0050601C">
              <w:rPr>
                <w:rFonts w:ascii="Times New Roman" w:eastAsia="Times New Roman" w:hAnsi="Times New Roman" w:cs="Times New Roman"/>
                <w:sz w:val="24"/>
                <w:szCs w:val="24"/>
                <w:lang w:eastAsia="lv-LV"/>
              </w:rPr>
              <w:t>šāda normatīvā akta</w:t>
            </w:r>
            <w:r w:rsidRPr="0050601C">
              <w:rPr>
                <w:rFonts w:ascii="Times New Roman" w:eastAsia="Times New Roman" w:hAnsi="Times New Roman" w:cs="Times New Roman"/>
                <w:sz w:val="24"/>
                <w:szCs w:val="24"/>
                <w:lang w:eastAsia="lv-LV"/>
              </w:rPr>
              <w:t xml:space="preserve"> izstrādi. Ar noteikumu projektu tiks noteiktas vienotas prasības, kuras </w:t>
            </w:r>
            <w:r w:rsidR="002A42B0" w:rsidRPr="0050601C">
              <w:rPr>
                <w:rFonts w:ascii="Times New Roman" w:eastAsia="Times New Roman" w:hAnsi="Times New Roman" w:cs="Times New Roman"/>
                <w:sz w:val="24"/>
                <w:szCs w:val="24"/>
                <w:lang w:eastAsia="lv-LV"/>
              </w:rPr>
              <w:t>Latvijas Banka</w:t>
            </w:r>
            <w:r w:rsidRPr="0050601C">
              <w:rPr>
                <w:rFonts w:ascii="Times New Roman" w:eastAsia="Times New Roman" w:hAnsi="Times New Roman" w:cs="Times New Roman"/>
                <w:sz w:val="24"/>
                <w:szCs w:val="24"/>
                <w:lang w:eastAsia="lv-LV"/>
              </w:rPr>
              <w:t xml:space="preserve"> uzraudzības ietvaros var konkrēti kontrolēt un nepieciešamības gadījumā par konkrētu prasību pārkāpumu piemērot iestādei korektīvos pasākumus.</w:t>
            </w:r>
          </w:p>
          <w:p w14:paraId="2D46CAE9" w14:textId="77777777" w:rsidR="00E53DE9" w:rsidRDefault="002D125F"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Noteikumu projektā noteiktā kārtība nodrošinās, ka tirgus dalībnieki konsekventi un saskaņā ar nozares labāko praksi pārvaldīs IT un drošības riskus. Ņemot vērā iepriekš minēto, ir pamats secināt, ka ieguvums sabiedrībai būs lielāks, nekā tirgus dalībniekiem radītais resursu ieguldījums noteikumu projekta prasību izpildei.</w:t>
            </w:r>
          </w:p>
          <w:p w14:paraId="531F0CEE" w14:textId="15C087E3" w:rsidR="00756E18" w:rsidRPr="0050601C" w:rsidRDefault="00756E18" w:rsidP="00122050">
            <w:pPr>
              <w:spacing w:after="0" w:line="240" w:lineRule="auto"/>
              <w:jc w:val="both"/>
              <w:rPr>
                <w:rFonts w:ascii="Times New Roman" w:eastAsia="Times New Roman" w:hAnsi="Times New Roman" w:cs="Times New Roman"/>
                <w:sz w:val="24"/>
                <w:szCs w:val="24"/>
                <w:lang w:eastAsia="lv-LV"/>
              </w:rPr>
            </w:pPr>
          </w:p>
        </w:tc>
      </w:tr>
      <w:tr w:rsidR="000B4E0A" w:rsidRPr="000B4E0A" w14:paraId="456CCA07" w14:textId="77777777" w:rsidTr="00E253DA">
        <w:trPr>
          <w:trHeight w:val="567"/>
        </w:trPr>
        <w:tc>
          <w:tcPr>
            <w:tcW w:w="1796" w:type="pct"/>
            <w:shd w:val="clear" w:color="auto" w:fill="auto"/>
            <w:hideMark/>
          </w:tcPr>
          <w:p w14:paraId="52619D9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05E74DFA"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5A71211" w14:textId="08C87474" w:rsidR="00756E18" w:rsidRPr="0050601C" w:rsidRDefault="00B04DD4"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tc>
      </w:tr>
      <w:tr w:rsidR="000B4E0A" w:rsidRPr="000B4E0A" w14:paraId="64D1159F" w14:textId="77777777" w:rsidTr="00E253DA">
        <w:trPr>
          <w:trHeight w:val="567"/>
        </w:trPr>
        <w:tc>
          <w:tcPr>
            <w:tcW w:w="1796" w:type="pct"/>
            <w:shd w:val="clear" w:color="auto" w:fill="auto"/>
            <w:hideMark/>
          </w:tcPr>
          <w:p w14:paraId="07183D74" w14:textId="2F2064D1" w:rsidR="00CA28AB"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204" w:type="pct"/>
            <w:shd w:val="clear" w:color="auto" w:fill="auto"/>
          </w:tcPr>
          <w:p w14:paraId="47FA3506" w14:textId="469BA265" w:rsidR="00E53DE9" w:rsidRPr="0050601C" w:rsidRDefault="00B04DD4"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Nav ietekmes uz Latvijas Bankas budžetu.</w:t>
            </w:r>
          </w:p>
        </w:tc>
      </w:tr>
      <w:tr w:rsidR="000B4E0A" w:rsidRPr="000B4E0A" w14:paraId="40468141" w14:textId="77777777" w:rsidTr="00E253DA">
        <w:trPr>
          <w:trHeight w:val="567"/>
        </w:trPr>
        <w:tc>
          <w:tcPr>
            <w:tcW w:w="1796" w:type="pct"/>
            <w:shd w:val="clear" w:color="auto" w:fill="auto"/>
            <w:hideMark/>
          </w:tcPr>
          <w:p w14:paraId="1D0DCABC" w14:textId="04864C0E" w:rsidR="00CA28AB"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tc>
        <w:tc>
          <w:tcPr>
            <w:tcW w:w="3204" w:type="pct"/>
            <w:shd w:val="clear" w:color="auto" w:fill="auto"/>
          </w:tcPr>
          <w:p w14:paraId="35275076" w14:textId="57E8B7CA" w:rsidR="00A42788" w:rsidRPr="0050601C" w:rsidRDefault="00D73982"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Salīdzin</w:t>
            </w:r>
            <w:r w:rsidR="00122050">
              <w:rPr>
                <w:rFonts w:ascii="Times New Roman" w:eastAsia="Times New Roman" w:hAnsi="Times New Roman" w:cs="Times New Roman"/>
                <w:sz w:val="24"/>
                <w:szCs w:val="24"/>
                <w:lang w:eastAsia="lv-LV"/>
              </w:rPr>
              <w:t>āju</w:t>
            </w:r>
            <w:r w:rsidR="00E12394">
              <w:rPr>
                <w:rFonts w:ascii="Times New Roman" w:eastAsia="Times New Roman" w:hAnsi="Times New Roman" w:cs="Times New Roman"/>
                <w:sz w:val="24"/>
                <w:szCs w:val="24"/>
                <w:lang w:eastAsia="lv-LV"/>
              </w:rPr>
              <w:t>m</w:t>
            </w:r>
            <w:r w:rsidR="00122050">
              <w:rPr>
                <w:rFonts w:ascii="Times New Roman" w:eastAsia="Times New Roman" w:hAnsi="Times New Roman" w:cs="Times New Roman"/>
                <w:sz w:val="24"/>
                <w:szCs w:val="24"/>
                <w:lang w:eastAsia="lv-LV"/>
              </w:rPr>
              <w:t>ā</w:t>
            </w:r>
            <w:r w:rsidRPr="0050601C">
              <w:rPr>
                <w:rFonts w:ascii="Times New Roman" w:eastAsia="Times New Roman" w:hAnsi="Times New Roman" w:cs="Times New Roman"/>
                <w:sz w:val="24"/>
                <w:szCs w:val="24"/>
                <w:lang w:eastAsia="lv-LV"/>
              </w:rPr>
              <w:t xml:space="preserve"> ar spēkā esošajiem Noteikumiem Nr. 150 noteikumu projekts neparedz jaunas prasības.</w:t>
            </w:r>
          </w:p>
        </w:tc>
      </w:tr>
      <w:tr w:rsidR="000B4E0A" w:rsidRPr="000B4E0A" w14:paraId="4FE07AF9" w14:textId="77777777" w:rsidTr="00E253DA">
        <w:trPr>
          <w:trHeight w:val="567"/>
        </w:trPr>
        <w:tc>
          <w:tcPr>
            <w:tcW w:w="1796" w:type="pct"/>
            <w:shd w:val="clear" w:color="auto" w:fill="auto"/>
            <w:hideMark/>
          </w:tcPr>
          <w:p w14:paraId="6BD971E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0FF39C36"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8D5B96E" w14:textId="2C2B9471" w:rsidR="0050601C" w:rsidRPr="0050601C" w:rsidRDefault="0050601C" w:rsidP="00122050">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Apdrošināšanas un pārapdrošināšanas likums;</w:t>
            </w:r>
          </w:p>
          <w:p w14:paraId="6A378CE5" w14:textId="1EEA6C99" w:rsidR="0050601C" w:rsidRPr="0050601C" w:rsidRDefault="0050601C" w:rsidP="00122050">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Finanšu instrumentu tirgus likums;</w:t>
            </w:r>
          </w:p>
          <w:p w14:paraId="70252885" w14:textId="2254F03E" w:rsidR="0050601C" w:rsidRPr="0050601C" w:rsidRDefault="0050601C" w:rsidP="00122050">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Ieguldījumu brokeru sabiedrību likums;</w:t>
            </w:r>
          </w:p>
          <w:p w14:paraId="5C9075C5" w14:textId="2F913904" w:rsidR="0050601C" w:rsidRPr="0050601C" w:rsidRDefault="0050601C" w:rsidP="00122050">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Ieguldījumu pārvaldes sabiedrību likums;</w:t>
            </w:r>
          </w:p>
          <w:p w14:paraId="2D02DF5C" w14:textId="714514A9" w:rsidR="0050601C" w:rsidRPr="0050601C" w:rsidRDefault="0050601C" w:rsidP="00122050">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proofErr w:type="spellStart"/>
            <w:r w:rsidRPr="0050601C">
              <w:rPr>
                <w:rFonts w:ascii="Times New Roman" w:eastAsia="Times New Roman" w:hAnsi="Times New Roman" w:cs="Times New Roman"/>
                <w:sz w:val="24"/>
                <w:szCs w:val="24"/>
                <w:lang w:eastAsia="lv-LV"/>
              </w:rPr>
              <w:t>Krājaizdevu</w:t>
            </w:r>
            <w:proofErr w:type="spellEnd"/>
            <w:r w:rsidRPr="0050601C">
              <w:rPr>
                <w:rFonts w:ascii="Times New Roman" w:eastAsia="Times New Roman" w:hAnsi="Times New Roman" w:cs="Times New Roman"/>
                <w:sz w:val="24"/>
                <w:szCs w:val="24"/>
                <w:lang w:eastAsia="lv-LV"/>
              </w:rPr>
              <w:t xml:space="preserve"> sabiedrību likums;</w:t>
            </w:r>
          </w:p>
          <w:p w14:paraId="623F8943" w14:textId="023678CE" w:rsidR="0050601C" w:rsidRPr="0050601C" w:rsidRDefault="0050601C" w:rsidP="00122050">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Kredītiestāžu likums;</w:t>
            </w:r>
          </w:p>
          <w:p w14:paraId="3A81BC10" w14:textId="77777777" w:rsidR="0050601C" w:rsidRPr="0050601C" w:rsidRDefault="0050601C" w:rsidP="00122050">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Maksājumu pakalpojumu un elektroniskās naudas likums</w:t>
            </w:r>
          </w:p>
          <w:p w14:paraId="1E187ACC" w14:textId="7EC52F67" w:rsidR="0050601C" w:rsidRPr="0050601C" w:rsidRDefault="0050601C" w:rsidP="00122050">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Privāto pensiju fondu likums;</w:t>
            </w:r>
          </w:p>
          <w:p w14:paraId="0FBC8FAC" w14:textId="46F372C2" w:rsidR="00756E18" w:rsidRPr="00391639" w:rsidRDefault="0050601C" w:rsidP="00122050">
            <w:pPr>
              <w:pStyle w:val="ListParagraph"/>
              <w:numPr>
                <w:ilvl w:val="0"/>
                <w:numId w:val="1"/>
              </w:num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Noteikumi Nr. 150</w:t>
            </w:r>
          </w:p>
        </w:tc>
      </w:tr>
      <w:tr w:rsidR="000B4E0A" w:rsidRPr="000B4E0A" w14:paraId="23A18F8A" w14:textId="77777777" w:rsidTr="00E253DA">
        <w:trPr>
          <w:trHeight w:val="567"/>
        </w:trPr>
        <w:tc>
          <w:tcPr>
            <w:tcW w:w="1796" w:type="pct"/>
            <w:shd w:val="clear" w:color="auto" w:fill="auto"/>
            <w:hideMark/>
          </w:tcPr>
          <w:p w14:paraId="64751193" w14:textId="60474FE4" w:rsidR="00CA28AB"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tc>
        <w:tc>
          <w:tcPr>
            <w:tcW w:w="3204" w:type="pct"/>
            <w:shd w:val="clear" w:color="auto" w:fill="auto"/>
          </w:tcPr>
          <w:p w14:paraId="7A302252" w14:textId="35201E81" w:rsidR="00A42788" w:rsidRPr="0050601C" w:rsidRDefault="00644BCD" w:rsidP="0012205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Nav nepieciešama.</w:t>
            </w:r>
          </w:p>
        </w:tc>
      </w:tr>
      <w:tr w:rsidR="000B4E0A" w:rsidRPr="000B4E0A" w14:paraId="041957BD" w14:textId="77777777" w:rsidTr="00E253DA">
        <w:trPr>
          <w:trHeight w:val="567"/>
        </w:trPr>
        <w:tc>
          <w:tcPr>
            <w:tcW w:w="1796" w:type="pct"/>
            <w:shd w:val="clear" w:color="auto" w:fill="auto"/>
            <w:hideMark/>
          </w:tcPr>
          <w:p w14:paraId="080C5C68"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5D41A8E4"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A39327B" w14:textId="5A5A15FA" w:rsidR="00923898" w:rsidRPr="00923898" w:rsidRDefault="00923898" w:rsidP="00923898">
            <w:pPr>
              <w:spacing w:after="0" w:line="240" w:lineRule="auto"/>
              <w:jc w:val="both"/>
              <w:rPr>
                <w:rFonts w:ascii="Times New Roman" w:eastAsia="Times New Roman" w:hAnsi="Times New Roman" w:cs="Times New Roman"/>
                <w:sz w:val="24"/>
                <w:szCs w:val="24"/>
                <w:lang w:eastAsia="lv-LV"/>
              </w:rPr>
            </w:pPr>
            <w:r w:rsidRPr="00923898">
              <w:rPr>
                <w:rFonts w:ascii="Times New Roman" w:eastAsia="Times New Roman" w:hAnsi="Times New Roman" w:cs="Times New Roman"/>
                <w:sz w:val="24"/>
                <w:szCs w:val="24"/>
                <w:lang w:eastAsia="lv-LV"/>
              </w:rPr>
              <w:t xml:space="preserve">Noteikumu projekts 2024. gada 30. oktobrī tika publicēts Latvijas Bankas tīmekļvietnes </w:t>
            </w:r>
            <w:hyperlink r:id="rId11" w:history="1">
              <w:r w:rsidRPr="00923898">
                <w:rPr>
                  <w:rStyle w:val="Hyperlink"/>
                  <w:rFonts w:ascii="Times New Roman" w:eastAsia="Times New Roman" w:hAnsi="Times New Roman" w:cs="Times New Roman"/>
                  <w:sz w:val="24"/>
                  <w:szCs w:val="24"/>
                  <w:lang w:eastAsia="lv-LV"/>
                </w:rPr>
                <w:t>www.bank.lv</w:t>
              </w:r>
            </w:hyperlink>
            <w:r w:rsidRPr="00923898">
              <w:rPr>
                <w:rFonts w:ascii="Times New Roman" w:eastAsia="Times New Roman" w:hAnsi="Times New Roman" w:cs="Times New Roman"/>
                <w:sz w:val="24"/>
                <w:szCs w:val="24"/>
                <w:lang w:eastAsia="lv-LV"/>
              </w:rPr>
              <w:t xml:space="preserve"> sadaļā "Sabiedrības līdzdalība", un par to bija iespējama sabiedrības līdzdalība līdz 2024. gada 13. novembrim.</w:t>
            </w:r>
          </w:p>
          <w:p w14:paraId="3AF92BFD" w14:textId="5E7E6ED7" w:rsidR="00756E18" w:rsidRPr="0050601C" w:rsidRDefault="00756E18" w:rsidP="00122050">
            <w:pPr>
              <w:spacing w:after="0" w:line="240" w:lineRule="auto"/>
              <w:jc w:val="both"/>
              <w:rPr>
                <w:rFonts w:ascii="Times New Roman" w:eastAsia="Times New Roman" w:hAnsi="Times New Roman" w:cs="Times New Roman"/>
                <w:sz w:val="24"/>
                <w:szCs w:val="24"/>
                <w:lang w:eastAsia="lv-LV"/>
              </w:rPr>
            </w:pPr>
          </w:p>
        </w:tc>
      </w:tr>
      <w:tr w:rsidR="000B4E0A" w:rsidRPr="000B4E0A" w14:paraId="196D8235" w14:textId="77777777" w:rsidTr="00E253DA">
        <w:trPr>
          <w:trHeight w:val="567"/>
        </w:trPr>
        <w:tc>
          <w:tcPr>
            <w:tcW w:w="1796" w:type="pct"/>
            <w:shd w:val="clear" w:color="auto" w:fill="auto"/>
            <w:hideMark/>
          </w:tcPr>
          <w:p w14:paraId="5B47A46E"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667C07B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F401B8B" w14:textId="37E4A50C" w:rsidR="00756E18" w:rsidRPr="0050601C" w:rsidRDefault="00923898" w:rsidP="00122050">
            <w:pPr>
              <w:spacing w:after="0" w:line="240" w:lineRule="auto"/>
              <w:jc w:val="both"/>
              <w:rPr>
                <w:rFonts w:ascii="Times New Roman" w:eastAsia="Times New Roman" w:hAnsi="Times New Roman" w:cs="Times New Roman"/>
                <w:sz w:val="24"/>
                <w:szCs w:val="24"/>
                <w:lang w:eastAsia="lv-LV"/>
              </w:rPr>
            </w:pPr>
            <w:r w:rsidRPr="00923898">
              <w:rPr>
                <w:rFonts w:ascii="Times New Roman" w:eastAsia="Times New Roman" w:hAnsi="Times New Roman" w:cs="Times New Roman"/>
                <w:sz w:val="24"/>
                <w:szCs w:val="24"/>
                <w:lang w:eastAsia="lv-LV"/>
              </w:rPr>
              <w:t>Sabiedrības līdzdalības rezultātā par noteikumu projektu netika saņemti iebildumi vai priekšlikumi, tādējādi noteikumu projekts ir saskaņots bez iebildumiem vai priekšlikumiem.</w:t>
            </w:r>
          </w:p>
        </w:tc>
      </w:tr>
    </w:tbl>
    <w:p w14:paraId="535F564A" w14:textId="77777777" w:rsidR="00E53DE9" w:rsidRPr="000B4E0A" w:rsidRDefault="00E53DE9" w:rsidP="00391639">
      <w:pPr>
        <w:spacing w:after="0" w:line="240" w:lineRule="auto"/>
        <w:rPr>
          <w:rFonts w:ascii="Times New Roman" w:hAnsi="Times New Roman" w:cs="Times New Roman"/>
          <w:sz w:val="24"/>
          <w:szCs w:val="24"/>
        </w:rPr>
      </w:pPr>
    </w:p>
    <w:sectPr w:rsidR="00E53DE9" w:rsidRPr="000B4E0A" w:rsidSect="00391639">
      <w:headerReference w:type="default" r:id="rId12"/>
      <w:pgSz w:w="11906" w:h="16838" w:code="9"/>
      <w:pgMar w:top="1134" w:right="1134"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7EE47" w14:textId="77777777" w:rsidR="00150BDE" w:rsidRDefault="00150BDE" w:rsidP="009B27BE">
      <w:pPr>
        <w:spacing w:after="0" w:line="240" w:lineRule="auto"/>
      </w:pPr>
      <w:r>
        <w:separator/>
      </w:r>
    </w:p>
  </w:endnote>
  <w:endnote w:type="continuationSeparator" w:id="0">
    <w:p w14:paraId="46787FA7" w14:textId="77777777" w:rsidR="00150BDE" w:rsidRDefault="00150BDE"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89081" w14:textId="77777777" w:rsidR="00150BDE" w:rsidRDefault="00150BDE" w:rsidP="009B27BE">
      <w:pPr>
        <w:spacing w:after="0" w:line="240" w:lineRule="auto"/>
      </w:pPr>
      <w:r>
        <w:separator/>
      </w:r>
    </w:p>
  </w:footnote>
  <w:footnote w:type="continuationSeparator" w:id="0">
    <w:p w14:paraId="74BD16CE" w14:textId="77777777" w:rsidR="00150BDE" w:rsidRDefault="00150BDE"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1532C7DC"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582A1172"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222AE6"/>
    <w:multiLevelType w:val="hybridMultilevel"/>
    <w:tmpl w:val="CCE4CA6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0644761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BC0"/>
    <w:rsid w:val="000263F5"/>
    <w:rsid w:val="00081B6E"/>
    <w:rsid w:val="0008510E"/>
    <w:rsid w:val="0009616F"/>
    <w:rsid w:val="000B4E0A"/>
    <w:rsid w:val="0010447C"/>
    <w:rsid w:val="00122050"/>
    <w:rsid w:val="00132070"/>
    <w:rsid w:val="00133F6A"/>
    <w:rsid w:val="00143A48"/>
    <w:rsid w:val="00150BDE"/>
    <w:rsid w:val="00167520"/>
    <w:rsid w:val="001A5171"/>
    <w:rsid w:val="00213C36"/>
    <w:rsid w:val="00236943"/>
    <w:rsid w:val="002A42B0"/>
    <w:rsid w:val="002C576C"/>
    <w:rsid w:val="002D125F"/>
    <w:rsid w:val="003244DB"/>
    <w:rsid w:val="003344C2"/>
    <w:rsid w:val="00376C65"/>
    <w:rsid w:val="00382C83"/>
    <w:rsid w:val="00391639"/>
    <w:rsid w:val="003B481B"/>
    <w:rsid w:val="00474B95"/>
    <w:rsid w:val="00480EC6"/>
    <w:rsid w:val="0049248A"/>
    <w:rsid w:val="004A772E"/>
    <w:rsid w:val="004D065F"/>
    <w:rsid w:val="004D1042"/>
    <w:rsid w:val="0050601C"/>
    <w:rsid w:val="005747C6"/>
    <w:rsid w:val="005B3E28"/>
    <w:rsid w:val="0060016E"/>
    <w:rsid w:val="00642172"/>
    <w:rsid w:val="00644BCD"/>
    <w:rsid w:val="0065455E"/>
    <w:rsid w:val="00756820"/>
    <w:rsid w:val="00756E18"/>
    <w:rsid w:val="00762371"/>
    <w:rsid w:val="00790CDB"/>
    <w:rsid w:val="007E313B"/>
    <w:rsid w:val="00804118"/>
    <w:rsid w:val="00920831"/>
    <w:rsid w:val="00923898"/>
    <w:rsid w:val="00932A29"/>
    <w:rsid w:val="009935FA"/>
    <w:rsid w:val="009B27BE"/>
    <w:rsid w:val="009D69BC"/>
    <w:rsid w:val="00A0418B"/>
    <w:rsid w:val="00A41295"/>
    <w:rsid w:val="00A42788"/>
    <w:rsid w:val="00A43135"/>
    <w:rsid w:val="00A467E6"/>
    <w:rsid w:val="00A91A41"/>
    <w:rsid w:val="00B04DD4"/>
    <w:rsid w:val="00B239A5"/>
    <w:rsid w:val="00B27E38"/>
    <w:rsid w:val="00B62244"/>
    <w:rsid w:val="00B95DAB"/>
    <w:rsid w:val="00BD391C"/>
    <w:rsid w:val="00C11BC0"/>
    <w:rsid w:val="00C30954"/>
    <w:rsid w:val="00C41636"/>
    <w:rsid w:val="00C44DCD"/>
    <w:rsid w:val="00C85C34"/>
    <w:rsid w:val="00CA28AB"/>
    <w:rsid w:val="00CD7653"/>
    <w:rsid w:val="00CE3CB6"/>
    <w:rsid w:val="00CF0970"/>
    <w:rsid w:val="00D17D5D"/>
    <w:rsid w:val="00D433B6"/>
    <w:rsid w:val="00D508D3"/>
    <w:rsid w:val="00D73982"/>
    <w:rsid w:val="00E04474"/>
    <w:rsid w:val="00E12394"/>
    <w:rsid w:val="00E1260A"/>
    <w:rsid w:val="00E253DA"/>
    <w:rsid w:val="00E53DE9"/>
    <w:rsid w:val="00E60064"/>
    <w:rsid w:val="00EA6D4F"/>
    <w:rsid w:val="00EB261C"/>
    <w:rsid w:val="00EF330D"/>
    <w:rsid w:val="00F81FE1"/>
    <w:rsid w:val="00FA4B91"/>
    <w:rsid w:val="00FD08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9362D"/>
  <w15:chartTrackingRefBased/>
  <w15:docId w15:val="{6AE4FB9C-8BE1-406B-8C95-2C7BE2DB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character" w:styleId="CommentReference">
    <w:name w:val="annotation reference"/>
    <w:basedOn w:val="DefaultParagraphFont"/>
    <w:uiPriority w:val="99"/>
    <w:semiHidden/>
    <w:unhideWhenUsed/>
    <w:rsid w:val="00A43135"/>
    <w:rPr>
      <w:sz w:val="16"/>
      <w:szCs w:val="16"/>
    </w:rPr>
  </w:style>
  <w:style w:type="paragraph" w:styleId="CommentText">
    <w:name w:val="annotation text"/>
    <w:basedOn w:val="Normal"/>
    <w:link w:val="CommentTextChar"/>
    <w:uiPriority w:val="99"/>
    <w:unhideWhenUsed/>
    <w:rsid w:val="00A43135"/>
    <w:pPr>
      <w:spacing w:line="240" w:lineRule="auto"/>
    </w:pPr>
    <w:rPr>
      <w:sz w:val="20"/>
      <w:szCs w:val="20"/>
    </w:rPr>
  </w:style>
  <w:style w:type="character" w:customStyle="1" w:styleId="CommentTextChar">
    <w:name w:val="Comment Text Char"/>
    <w:basedOn w:val="DefaultParagraphFont"/>
    <w:link w:val="CommentText"/>
    <w:uiPriority w:val="99"/>
    <w:rsid w:val="00A43135"/>
    <w:rPr>
      <w:sz w:val="20"/>
      <w:szCs w:val="20"/>
    </w:rPr>
  </w:style>
  <w:style w:type="paragraph" w:styleId="ListParagraph">
    <w:name w:val="List Paragraph"/>
    <w:basedOn w:val="Normal"/>
    <w:uiPriority w:val="34"/>
    <w:qFormat/>
    <w:rsid w:val="0050601C"/>
    <w:pPr>
      <w:ind w:left="720"/>
      <w:contextualSpacing/>
    </w:pPr>
  </w:style>
  <w:style w:type="paragraph" w:styleId="Revision">
    <w:name w:val="Revision"/>
    <w:hidden/>
    <w:uiPriority w:val="99"/>
    <w:semiHidden/>
    <w:rsid w:val="00236943"/>
    <w:pPr>
      <w:spacing w:after="0" w:line="240" w:lineRule="auto"/>
    </w:pPr>
  </w:style>
  <w:style w:type="character" w:styleId="Hyperlink">
    <w:name w:val="Hyperlink"/>
    <w:basedOn w:val="DefaultParagraphFont"/>
    <w:uiPriority w:val="99"/>
    <w:unhideWhenUsed/>
    <w:rsid w:val="00923898"/>
    <w:rPr>
      <w:color w:val="0563C1" w:themeColor="hyperlink"/>
      <w:u w:val="single"/>
    </w:rPr>
  </w:style>
  <w:style w:type="character" w:styleId="UnresolvedMention">
    <w:name w:val="Unresolved Mention"/>
    <w:basedOn w:val="DefaultParagraphFont"/>
    <w:uiPriority w:val="99"/>
    <w:semiHidden/>
    <w:unhideWhenUsed/>
    <w:rsid w:val="00923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42699324">
      <w:bodyDiv w:val="1"/>
      <w:marLeft w:val="0"/>
      <w:marRight w:val="0"/>
      <w:marTop w:val="0"/>
      <w:marBottom w:val="0"/>
      <w:divBdr>
        <w:top w:val="none" w:sz="0" w:space="0" w:color="auto"/>
        <w:left w:val="none" w:sz="0" w:space="0" w:color="auto"/>
        <w:bottom w:val="none" w:sz="0" w:space="0" w:color="auto"/>
        <w:right w:val="none" w:sz="0" w:space="0" w:color="auto"/>
      </w:divBdr>
    </w:div>
    <w:div w:id="171442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ANA_ANOTACIJA.dotx</Template>
  <TotalTime>2</TotalTime>
  <Pages>3</Pages>
  <Words>4558</Words>
  <Characters>2599</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Kristaps Hahelis</dc:creator>
  <cp:keywords/>
  <dc:description/>
  <cp:lastModifiedBy>Ilze Grava</cp:lastModifiedBy>
  <cp:revision>3</cp:revision>
  <dcterms:created xsi:type="dcterms:W3CDTF">2024-11-14T13:30:00Z</dcterms:created>
  <dcterms:modified xsi:type="dcterms:W3CDTF">2024-11-19T07:30:00Z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