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13776" w14:textId="7F8938E7" w:rsidR="009B27BE" w:rsidRPr="00046FC6" w:rsidRDefault="00CA28AB" w:rsidP="00920831">
      <w:pPr>
        <w:spacing w:after="0" w:line="240" w:lineRule="auto"/>
        <w:jc w:val="center"/>
        <w:rPr>
          <w:rFonts w:ascii="Times New Roman" w:hAnsi="Times New Roman" w:cs="Times New Roman"/>
          <w:b/>
          <w:bCs/>
          <w:sz w:val="24"/>
          <w:szCs w:val="24"/>
        </w:rPr>
      </w:pPr>
      <w:r w:rsidRPr="00046FC6">
        <w:rPr>
          <w:rFonts w:ascii="Times New Roman" w:hAnsi="Times New Roman" w:cs="Times New Roman"/>
          <w:b/>
          <w:bCs/>
          <w:sz w:val="24"/>
          <w:szCs w:val="24"/>
        </w:rPr>
        <w:t xml:space="preserve">Latvijas Bankas noteikumu projekta </w:t>
      </w:r>
      <w:r w:rsidR="003E5E6E" w:rsidRPr="00046FC6">
        <w:rPr>
          <w:rFonts w:ascii="Times New Roman" w:hAnsi="Times New Roman" w:cs="Times New Roman"/>
          <w:b/>
          <w:bCs/>
          <w:sz w:val="24"/>
          <w:szCs w:val="24"/>
        </w:rPr>
        <w:t>"</w:t>
      </w:r>
      <w:r w:rsidR="00BA322F" w:rsidRPr="00046FC6">
        <w:rPr>
          <w:rFonts w:ascii="Times New Roman" w:hAnsi="Times New Roman" w:cs="Times New Roman"/>
          <w:b/>
          <w:bCs/>
          <w:sz w:val="24"/>
          <w:szCs w:val="24"/>
        </w:rPr>
        <w:t>Noteikumi par bināro iespēju līgumiem</w:t>
      </w:r>
      <w:r w:rsidR="003E5E6E" w:rsidRPr="00046FC6">
        <w:rPr>
          <w:rFonts w:ascii="Times New Roman" w:hAnsi="Times New Roman" w:cs="Times New Roman"/>
          <w:b/>
          <w:bCs/>
          <w:sz w:val="24"/>
          <w:szCs w:val="24"/>
        </w:rPr>
        <w:t xml:space="preserve"> un finanšu līgumiem par starpību"</w:t>
      </w:r>
      <w:r w:rsidR="003B481B" w:rsidRPr="00046FC6">
        <w:rPr>
          <w:rFonts w:ascii="Times New Roman" w:hAnsi="Times New Roman" w:cs="Times New Roman"/>
          <w:b/>
          <w:bCs/>
          <w:sz w:val="24"/>
          <w:szCs w:val="24"/>
        </w:rPr>
        <w:t xml:space="preserve"> anotācija</w:t>
      </w:r>
    </w:p>
    <w:p w14:paraId="60197D8F" w14:textId="77777777" w:rsidR="003B481B" w:rsidRPr="00046FC6"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6"/>
      </w:tblGrid>
      <w:tr w:rsidR="000B4E0A" w:rsidRPr="00046FC6" w14:paraId="5AF8613E" w14:textId="77777777" w:rsidTr="0045673B">
        <w:trPr>
          <w:trHeight w:val="567"/>
        </w:trPr>
        <w:tc>
          <w:tcPr>
            <w:tcW w:w="1483" w:type="pct"/>
            <w:shd w:val="clear" w:color="auto" w:fill="auto"/>
            <w:hideMark/>
          </w:tcPr>
          <w:p w14:paraId="214F8583" w14:textId="200D0DF7"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Nosaukums</w:t>
            </w:r>
          </w:p>
        </w:tc>
        <w:tc>
          <w:tcPr>
            <w:tcW w:w="3517" w:type="pct"/>
            <w:shd w:val="clear" w:color="auto" w:fill="auto"/>
          </w:tcPr>
          <w:p w14:paraId="02C1AC37" w14:textId="46347197" w:rsidR="00E53DE9" w:rsidRPr="00046FC6" w:rsidRDefault="00BA322F"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Noteikumi par bināro iespēju līgumiem</w:t>
            </w:r>
            <w:r w:rsidR="003E5E6E" w:rsidRPr="00046FC6">
              <w:rPr>
                <w:rFonts w:ascii="Times New Roman" w:eastAsia="Times New Roman" w:hAnsi="Times New Roman" w:cs="Times New Roman"/>
                <w:sz w:val="24"/>
                <w:szCs w:val="24"/>
                <w:lang w:eastAsia="lv-LV"/>
              </w:rPr>
              <w:t xml:space="preserve"> un finanšu līgumiem par starpību</w:t>
            </w:r>
          </w:p>
        </w:tc>
      </w:tr>
      <w:tr w:rsidR="000B4E0A" w:rsidRPr="00046FC6" w14:paraId="40579981" w14:textId="77777777" w:rsidTr="0045673B">
        <w:trPr>
          <w:trHeight w:val="567"/>
        </w:trPr>
        <w:tc>
          <w:tcPr>
            <w:tcW w:w="1483" w:type="pct"/>
            <w:shd w:val="clear" w:color="auto" w:fill="auto"/>
            <w:hideMark/>
          </w:tcPr>
          <w:p w14:paraId="6827898F" w14:textId="2FDD77A0"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Dokumenta veids</w:t>
            </w:r>
          </w:p>
        </w:tc>
        <w:tc>
          <w:tcPr>
            <w:tcW w:w="3517" w:type="pct"/>
            <w:shd w:val="clear" w:color="auto" w:fill="auto"/>
          </w:tcPr>
          <w:p w14:paraId="4FD52E21" w14:textId="24008422" w:rsidR="00E53DE9" w:rsidRPr="00046FC6" w:rsidRDefault="00FD0716" w:rsidP="00F0556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w:t>
            </w:r>
            <w:r w:rsidR="004B27FC" w:rsidRPr="00046FC6">
              <w:rPr>
                <w:rFonts w:ascii="Times New Roman" w:eastAsia="Times New Roman" w:hAnsi="Times New Roman" w:cs="Times New Roman"/>
                <w:sz w:val="24"/>
                <w:szCs w:val="24"/>
                <w:lang w:eastAsia="lv-LV"/>
              </w:rPr>
              <w:t>oteikumi</w:t>
            </w:r>
          </w:p>
        </w:tc>
      </w:tr>
      <w:tr w:rsidR="000B4E0A" w:rsidRPr="00046FC6" w14:paraId="100E5141" w14:textId="77777777" w:rsidTr="0045673B">
        <w:trPr>
          <w:trHeight w:val="567"/>
        </w:trPr>
        <w:tc>
          <w:tcPr>
            <w:tcW w:w="1483" w:type="pct"/>
            <w:shd w:val="clear" w:color="auto" w:fill="auto"/>
            <w:hideMark/>
          </w:tcPr>
          <w:p w14:paraId="1579B5C8" w14:textId="4C4EBAAA"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Izdošanas pamatojums</w:t>
            </w:r>
          </w:p>
        </w:tc>
        <w:tc>
          <w:tcPr>
            <w:tcW w:w="3517" w:type="pct"/>
            <w:shd w:val="clear" w:color="auto" w:fill="auto"/>
          </w:tcPr>
          <w:p w14:paraId="793F64E3" w14:textId="5865CE58" w:rsidR="0088444E" w:rsidRPr="00046FC6" w:rsidRDefault="0069525E"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 xml:space="preserve">Finanšu instrumentu tirgus likuma </w:t>
            </w:r>
            <w:r w:rsidR="00220A2F" w:rsidRPr="00046FC6">
              <w:rPr>
                <w:rFonts w:ascii="Times New Roman" w:eastAsia="Times New Roman" w:hAnsi="Times New Roman" w:cs="Times New Roman"/>
                <w:sz w:val="24"/>
                <w:szCs w:val="24"/>
                <w:lang w:eastAsia="lv-LV"/>
              </w:rPr>
              <w:t>(turpmāk </w:t>
            </w:r>
            <w:r w:rsidR="0007324F" w:rsidRPr="00A02D73">
              <w:rPr>
                <w:rFonts w:ascii="Times New Roman" w:eastAsia="Times New Roman" w:hAnsi="Times New Roman" w:cs="Times New Roman"/>
                <w:sz w:val="24"/>
                <w:szCs w:val="24"/>
                <w:lang w:eastAsia="lv-LV"/>
              </w:rPr>
              <w:t>arī </w:t>
            </w:r>
            <w:r w:rsidR="00220A2F" w:rsidRPr="00046FC6">
              <w:rPr>
                <w:rFonts w:ascii="Times New Roman" w:eastAsia="Times New Roman" w:hAnsi="Times New Roman" w:cs="Times New Roman"/>
                <w:sz w:val="24"/>
                <w:szCs w:val="24"/>
                <w:lang w:eastAsia="lv-LV"/>
              </w:rPr>
              <w:t xml:space="preserve">– Likums) </w:t>
            </w:r>
            <w:r w:rsidR="00BA322F" w:rsidRPr="00046FC6">
              <w:rPr>
                <w:rFonts w:ascii="Times New Roman" w:eastAsia="Times New Roman" w:hAnsi="Times New Roman" w:cs="Times New Roman"/>
                <w:sz w:val="24"/>
                <w:szCs w:val="24"/>
                <w:lang w:eastAsia="lv-LV"/>
              </w:rPr>
              <w:t>4</w:t>
            </w:r>
            <w:r w:rsidRPr="00046FC6">
              <w:rPr>
                <w:rFonts w:ascii="Times New Roman" w:eastAsia="Times New Roman" w:hAnsi="Times New Roman" w:cs="Times New Roman"/>
                <w:sz w:val="24"/>
                <w:szCs w:val="24"/>
                <w:lang w:eastAsia="lv-LV"/>
              </w:rPr>
              <w:t>.</w:t>
            </w:r>
            <w:r w:rsidRPr="00046FC6">
              <w:rPr>
                <w:rFonts w:ascii="Times New Roman" w:eastAsia="Times New Roman" w:hAnsi="Times New Roman" w:cs="Times New Roman"/>
                <w:sz w:val="24"/>
                <w:szCs w:val="24"/>
                <w:vertAlign w:val="superscript"/>
                <w:lang w:eastAsia="lv-LV"/>
              </w:rPr>
              <w:t>2</w:t>
            </w:r>
            <w:r w:rsidR="008A60D8" w:rsidRPr="00046FC6">
              <w:rPr>
                <w:rFonts w:ascii="Times New Roman" w:eastAsia="Times New Roman" w:hAnsi="Times New Roman" w:cs="Times New Roman"/>
                <w:sz w:val="24"/>
                <w:szCs w:val="24"/>
                <w:lang w:eastAsia="lv-LV"/>
              </w:rPr>
              <w:t> </w:t>
            </w:r>
            <w:r w:rsidRPr="00046FC6">
              <w:rPr>
                <w:rFonts w:ascii="Times New Roman" w:eastAsia="Times New Roman" w:hAnsi="Times New Roman" w:cs="Times New Roman"/>
                <w:sz w:val="24"/>
                <w:szCs w:val="24"/>
                <w:lang w:eastAsia="lv-LV"/>
              </w:rPr>
              <w:t>pant</w:t>
            </w:r>
            <w:r w:rsidR="00BA322F" w:rsidRPr="00046FC6">
              <w:rPr>
                <w:rFonts w:ascii="Times New Roman" w:eastAsia="Times New Roman" w:hAnsi="Times New Roman" w:cs="Times New Roman"/>
                <w:sz w:val="24"/>
                <w:szCs w:val="24"/>
                <w:lang w:eastAsia="lv-LV"/>
              </w:rPr>
              <w:t>s</w:t>
            </w:r>
          </w:p>
        </w:tc>
      </w:tr>
      <w:tr w:rsidR="000B4E0A" w:rsidRPr="00046FC6" w14:paraId="646435C5" w14:textId="77777777" w:rsidTr="0045673B">
        <w:trPr>
          <w:trHeight w:val="567"/>
        </w:trPr>
        <w:tc>
          <w:tcPr>
            <w:tcW w:w="1483" w:type="pct"/>
            <w:shd w:val="clear" w:color="auto" w:fill="auto"/>
            <w:hideMark/>
          </w:tcPr>
          <w:p w14:paraId="61E876F5" w14:textId="035BD8B7"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Mērķis un būtība</w:t>
            </w:r>
          </w:p>
        </w:tc>
        <w:tc>
          <w:tcPr>
            <w:tcW w:w="3517" w:type="pct"/>
            <w:shd w:val="clear" w:color="auto" w:fill="auto"/>
          </w:tcPr>
          <w:p w14:paraId="5A9BAE3E" w14:textId="38D3379D" w:rsidR="00AE2B12" w:rsidRPr="00046FC6" w:rsidRDefault="00AE2B12" w:rsidP="00BB7D3A">
            <w:pPr>
              <w:spacing w:after="120" w:line="240" w:lineRule="auto"/>
              <w:jc w:val="both"/>
              <w:rPr>
                <w:rFonts w:ascii="Times New Roman" w:hAnsi="Times New Roman" w:cs="Times New Roman"/>
                <w:sz w:val="24"/>
                <w:szCs w:val="24"/>
              </w:rPr>
            </w:pPr>
            <w:bookmarkStart w:id="0" w:name="_Hlk164677298"/>
            <w:r w:rsidRPr="00046FC6">
              <w:rPr>
                <w:rFonts w:ascii="Times New Roman" w:hAnsi="Times New Roman" w:cs="Times New Roman"/>
                <w:sz w:val="24"/>
                <w:szCs w:val="24"/>
              </w:rPr>
              <w:t xml:space="preserve">Noteikumu projekta mērķis ir stiprināt </w:t>
            </w:r>
            <w:r w:rsidR="00133406" w:rsidRPr="00046FC6">
              <w:rPr>
                <w:rFonts w:ascii="Times New Roman" w:hAnsi="Times New Roman" w:cs="Times New Roman"/>
                <w:sz w:val="24"/>
                <w:szCs w:val="24"/>
              </w:rPr>
              <w:t>privāto klientu (</w:t>
            </w:r>
            <w:r w:rsidR="007A576E" w:rsidRPr="00046FC6">
              <w:rPr>
                <w:rFonts w:ascii="Times New Roman" w:hAnsi="Times New Roman" w:cs="Times New Roman"/>
                <w:iCs/>
                <w:sz w:val="24"/>
                <w:szCs w:val="24"/>
              </w:rPr>
              <w:t>klients, kas nav atzīstams par profesionālu klientu Likuma 124.</w:t>
            </w:r>
            <w:r w:rsidR="007A576E" w:rsidRPr="00046FC6">
              <w:rPr>
                <w:rFonts w:ascii="Times New Roman" w:hAnsi="Times New Roman" w:cs="Times New Roman"/>
                <w:iCs/>
                <w:sz w:val="24"/>
                <w:szCs w:val="24"/>
                <w:vertAlign w:val="superscript"/>
              </w:rPr>
              <w:t>1</w:t>
            </w:r>
            <w:r w:rsidR="007A576E" w:rsidRPr="00046FC6">
              <w:rPr>
                <w:rFonts w:ascii="Times New Roman" w:hAnsi="Times New Roman" w:cs="Times New Roman"/>
                <w:iCs/>
                <w:sz w:val="24"/>
                <w:szCs w:val="24"/>
              </w:rPr>
              <w:t xml:space="preserve"> panta izpratnē) </w:t>
            </w:r>
            <w:r w:rsidRPr="00046FC6">
              <w:rPr>
                <w:rFonts w:ascii="Times New Roman" w:hAnsi="Times New Roman" w:cs="Times New Roman"/>
                <w:sz w:val="24"/>
                <w:szCs w:val="24"/>
              </w:rPr>
              <w:t>aizsardzību</w:t>
            </w:r>
            <w:r w:rsidR="00133406" w:rsidRPr="00046FC6">
              <w:rPr>
                <w:rFonts w:ascii="Times New Roman" w:hAnsi="Times New Roman" w:cs="Times New Roman"/>
                <w:iCs/>
                <w:sz w:val="24"/>
                <w:szCs w:val="24"/>
              </w:rPr>
              <w:t>, nosakot</w:t>
            </w:r>
            <w:r w:rsidRPr="00046FC6">
              <w:rPr>
                <w:rFonts w:ascii="Times New Roman" w:hAnsi="Times New Roman" w:cs="Times New Roman"/>
                <w:sz w:val="24"/>
                <w:szCs w:val="24"/>
              </w:rPr>
              <w:t xml:space="preserve"> vienotas prasības </w:t>
            </w:r>
            <w:r w:rsidR="00FF7637" w:rsidRPr="00046FC6">
              <w:rPr>
                <w:rFonts w:ascii="Times New Roman" w:hAnsi="Times New Roman" w:cs="Times New Roman"/>
                <w:iCs/>
                <w:sz w:val="24"/>
                <w:szCs w:val="24"/>
              </w:rPr>
              <w:t>finanšu tirgus dalībniekiem</w:t>
            </w:r>
            <w:r w:rsidRPr="00046FC6">
              <w:rPr>
                <w:rFonts w:ascii="Times New Roman" w:hAnsi="Times New Roman" w:cs="Times New Roman"/>
                <w:iCs/>
                <w:sz w:val="24"/>
                <w:szCs w:val="24"/>
              </w:rPr>
              <w:t xml:space="preserve"> </w:t>
            </w:r>
            <w:r w:rsidRPr="00046FC6">
              <w:rPr>
                <w:rFonts w:ascii="Times New Roman" w:hAnsi="Times New Roman" w:cs="Times New Roman"/>
                <w:sz w:val="24"/>
                <w:szCs w:val="24"/>
              </w:rPr>
              <w:t xml:space="preserve">attiecībā uz </w:t>
            </w:r>
            <w:r w:rsidR="00276468" w:rsidRPr="00046FC6">
              <w:rPr>
                <w:rFonts w:ascii="Times New Roman" w:hAnsi="Times New Roman" w:cs="Times New Roman"/>
                <w:sz w:val="24"/>
                <w:szCs w:val="24"/>
              </w:rPr>
              <w:t xml:space="preserve">bināro iespēju līgumu un </w:t>
            </w:r>
            <w:r w:rsidR="008A60D8" w:rsidRPr="00046FC6">
              <w:rPr>
                <w:rFonts w:ascii="Times New Roman" w:hAnsi="Times New Roman" w:cs="Times New Roman"/>
                <w:sz w:val="24"/>
                <w:szCs w:val="24"/>
              </w:rPr>
              <w:t>f</w:t>
            </w:r>
            <w:r w:rsidRPr="00046FC6">
              <w:rPr>
                <w:rFonts w:ascii="Times New Roman" w:hAnsi="Times New Roman" w:cs="Times New Roman"/>
                <w:sz w:val="24"/>
                <w:szCs w:val="24"/>
              </w:rPr>
              <w:t>inanšu līgum</w:t>
            </w:r>
            <w:r w:rsidR="00276468" w:rsidRPr="00046FC6">
              <w:rPr>
                <w:rFonts w:ascii="Times New Roman" w:hAnsi="Times New Roman" w:cs="Times New Roman"/>
                <w:sz w:val="24"/>
                <w:szCs w:val="24"/>
              </w:rPr>
              <w:t>u</w:t>
            </w:r>
            <w:r w:rsidRPr="00046FC6">
              <w:rPr>
                <w:rFonts w:ascii="Times New Roman" w:hAnsi="Times New Roman" w:cs="Times New Roman"/>
                <w:sz w:val="24"/>
                <w:szCs w:val="24"/>
              </w:rPr>
              <w:t xml:space="preserve"> par starpību (turpmāk</w:t>
            </w:r>
            <w:r w:rsidR="00F05276" w:rsidRPr="00046FC6">
              <w:rPr>
                <w:rFonts w:ascii="Times New Roman" w:hAnsi="Times New Roman" w:cs="Times New Roman"/>
                <w:sz w:val="24"/>
                <w:szCs w:val="24"/>
              </w:rPr>
              <w:t xml:space="preserve"> arī</w:t>
            </w:r>
            <w:r w:rsidR="00BA733D">
              <w:rPr>
                <w:rFonts w:ascii="Times New Roman" w:hAnsi="Times New Roman" w:cs="Times New Roman"/>
                <w:sz w:val="24"/>
                <w:szCs w:val="24"/>
              </w:rPr>
              <w:t> </w:t>
            </w:r>
            <w:r w:rsidRPr="00046FC6">
              <w:rPr>
                <w:rFonts w:ascii="Times New Roman" w:hAnsi="Times New Roman" w:cs="Times New Roman"/>
                <w:sz w:val="24"/>
                <w:szCs w:val="24"/>
              </w:rPr>
              <w:t>– līgumi par starpību) reklamēšanas, izplatīšanas un pārdošanas privāt</w:t>
            </w:r>
            <w:r w:rsidR="007A576E" w:rsidRPr="00046FC6">
              <w:rPr>
                <w:rFonts w:ascii="Times New Roman" w:hAnsi="Times New Roman" w:cs="Times New Roman"/>
                <w:sz w:val="24"/>
                <w:szCs w:val="24"/>
              </w:rPr>
              <w:t xml:space="preserve">iem </w:t>
            </w:r>
            <w:r w:rsidRPr="00046FC6">
              <w:rPr>
                <w:rFonts w:ascii="Times New Roman" w:hAnsi="Times New Roman" w:cs="Times New Roman"/>
                <w:sz w:val="24"/>
                <w:szCs w:val="24"/>
              </w:rPr>
              <w:t>klientiem nosacījumiem Latvijā un no Latvijas.</w:t>
            </w:r>
          </w:p>
          <w:p w14:paraId="44F88BF2" w14:textId="754CF4EA" w:rsidR="00BA322F" w:rsidRPr="00046FC6" w:rsidRDefault="00BA322F" w:rsidP="00BB7D3A">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Ei</w:t>
            </w:r>
            <w:bookmarkStart w:id="1" w:name="_Hlk173838103"/>
            <w:r w:rsidRPr="00046FC6">
              <w:rPr>
                <w:rFonts w:ascii="Times New Roman" w:hAnsi="Times New Roman" w:cs="Times New Roman"/>
                <w:sz w:val="24"/>
                <w:szCs w:val="24"/>
              </w:rPr>
              <w:t>ropas Vērtspapīru un tirgu iestāde (turpmāk – EVTI)</w:t>
            </w:r>
            <w:bookmarkEnd w:id="1"/>
            <w:r w:rsidRPr="00046FC6">
              <w:rPr>
                <w:rFonts w:ascii="Times New Roman" w:hAnsi="Times New Roman" w:cs="Times New Roman"/>
                <w:sz w:val="24"/>
                <w:szCs w:val="24"/>
              </w:rPr>
              <w:t xml:space="preserve"> no 2018.</w:t>
            </w:r>
            <w:r w:rsidR="008A60D8" w:rsidRPr="00046FC6">
              <w:rPr>
                <w:rFonts w:ascii="Times New Roman" w:hAnsi="Times New Roman" w:cs="Times New Roman"/>
                <w:sz w:val="24"/>
                <w:szCs w:val="24"/>
              </w:rPr>
              <w:t> </w:t>
            </w:r>
            <w:r w:rsidRPr="00046FC6">
              <w:rPr>
                <w:rFonts w:ascii="Times New Roman" w:hAnsi="Times New Roman" w:cs="Times New Roman"/>
                <w:sz w:val="24"/>
                <w:szCs w:val="24"/>
              </w:rPr>
              <w:t>gada 1.</w:t>
            </w:r>
            <w:r w:rsidR="008A60D8" w:rsidRPr="00046FC6">
              <w:rPr>
                <w:rFonts w:ascii="Times New Roman" w:hAnsi="Times New Roman" w:cs="Times New Roman"/>
                <w:sz w:val="24"/>
                <w:szCs w:val="24"/>
              </w:rPr>
              <w:t> </w:t>
            </w:r>
            <w:r w:rsidRPr="00046FC6">
              <w:rPr>
                <w:rFonts w:ascii="Times New Roman" w:hAnsi="Times New Roman" w:cs="Times New Roman"/>
                <w:sz w:val="24"/>
                <w:szCs w:val="24"/>
              </w:rPr>
              <w:t xml:space="preserve">augusta uz </w:t>
            </w:r>
            <w:r w:rsidR="009E7F1C" w:rsidRPr="00046FC6">
              <w:rPr>
                <w:rFonts w:ascii="Times New Roman" w:hAnsi="Times New Roman" w:cs="Times New Roman"/>
                <w:sz w:val="24"/>
                <w:szCs w:val="24"/>
              </w:rPr>
              <w:t>trim</w:t>
            </w:r>
            <w:r w:rsidR="007A576E" w:rsidRPr="00046FC6">
              <w:rPr>
                <w:rFonts w:ascii="Times New Roman" w:hAnsi="Times New Roman" w:cs="Times New Roman"/>
                <w:sz w:val="24"/>
                <w:szCs w:val="24"/>
              </w:rPr>
              <w:t> </w:t>
            </w:r>
            <w:r w:rsidRPr="00046FC6">
              <w:rPr>
                <w:rFonts w:ascii="Times New Roman" w:hAnsi="Times New Roman" w:cs="Times New Roman"/>
                <w:sz w:val="24"/>
                <w:szCs w:val="24"/>
              </w:rPr>
              <w:t>mēnešiem noteica pagaidu ierobežojumus līgumu par starpību tirdzniecībai, izplatīšanai vai pārdošanai privātiem klientiem</w:t>
            </w:r>
            <w:r w:rsidR="00CA0B2A" w:rsidRPr="00046FC6">
              <w:rPr>
                <w:rStyle w:val="FootnoteReference"/>
                <w:rFonts w:ascii="Times New Roman" w:hAnsi="Times New Roman" w:cs="Times New Roman"/>
                <w:sz w:val="24"/>
                <w:szCs w:val="24"/>
              </w:rPr>
              <w:footnoteReference w:id="1"/>
            </w:r>
            <w:r w:rsidRPr="00046FC6">
              <w:rPr>
                <w:rFonts w:ascii="Times New Roman" w:hAnsi="Times New Roman" w:cs="Times New Roman"/>
                <w:sz w:val="24"/>
                <w:szCs w:val="24"/>
              </w:rPr>
              <w:t xml:space="preserve">. EVTI </w:t>
            </w:r>
            <w:r w:rsidR="00AF312B" w:rsidRPr="00046FC6">
              <w:rPr>
                <w:rFonts w:ascii="Times New Roman" w:hAnsi="Times New Roman" w:cs="Times New Roman"/>
                <w:sz w:val="24"/>
                <w:szCs w:val="24"/>
              </w:rPr>
              <w:t xml:space="preserve">2018. gada </w:t>
            </w:r>
            <w:r w:rsidR="009153F2" w:rsidRPr="00046FC6">
              <w:rPr>
                <w:rFonts w:ascii="Times New Roman" w:hAnsi="Times New Roman" w:cs="Times New Roman"/>
                <w:sz w:val="24"/>
                <w:szCs w:val="24"/>
              </w:rPr>
              <w:t>1. novembrī</w:t>
            </w:r>
            <w:r w:rsidR="00AF312B" w:rsidRPr="00046FC6">
              <w:rPr>
                <w:rStyle w:val="FootnoteReference"/>
                <w:rFonts w:ascii="Times New Roman" w:hAnsi="Times New Roman" w:cs="Times New Roman"/>
                <w:sz w:val="24"/>
                <w:szCs w:val="24"/>
              </w:rPr>
              <w:footnoteReference w:id="2"/>
            </w:r>
            <w:r w:rsidR="00AF312B" w:rsidRPr="00046FC6">
              <w:rPr>
                <w:rFonts w:ascii="Times New Roman" w:hAnsi="Times New Roman" w:cs="Times New Roman"/>
                <w:sz w:val="24"/>
                <w:szCs w:val="24"/>
              </w:rPr>
              <w:t>,</w:t>
            </w:r>
            <w:r w:rsidRPr="00046FC6">
              <w:rPr>
                <w:rFonts w:ascii="Times New Roman" w:hAnsi="Times New Roman" w:cs="Times New Roman"/>
                <w:sz w:val="24"/>
                <w:szCs w:val="24"/>
              </w:rPr>
              <w:t xml:space="preserve"> </w:t>
            </w:r>
            <w:r w:rsidR="005E304E" w:rsidRPr="00046FC6">
              <w:rPr>
                <w:rFonts w:ascii="Times New Roman" w:hAnsi="Times New Roman" w:cs="Times New Roman"/>
                <w:sz w:val="24"/>
                <w:szCs w:val="24"/>
              </w:rPr>
              <w:t xml:space="preserve">2019. gada </w:t>
            </w:r>
            <w:r w:rsidR="009153F2" w:rsidRPr="00046FC6">
              <w:rPr>
                <w:rFonts w:ascii="Times New Roman" w:hAnsi="Times New Roman" w:cs="Times New Roman"/>
                <w:sz w:val="24"/>
                <w:szCs w:val="24"/>
              </w:rPr>
              <w:t>1. februārī</w:t>
            </w:r>
            <w:r w:rsidR="005E304E" w:rsidRPr="00046FC6">
              <w:rPr>
                <w:rStyle w:val="FootnoteReference"/>
                <w:rFonts w:ascii="Times New Roman" w:hAnsi="Times New Roman" w:cs="Times New Roman"/>
                <w:sz w:val="24"/>
                <w:szCs w:val="24"/>
              </w:rPr>
              <w:footnoteReference w:id="3"/>
            </w:r>
            <w:r w:rsidR="005E304E" w:rsidRPr="00046FC6">
              <w:rPr>
                <w:rFonts w:ascii="Times New Roman" w:hAnsi="Times New Roman" w:cs="Times New Roman"/>
                <w:sz w:val="24"/>
                <w:szCs w:val="24"/>
              </w:rPr>
              <w:t xml:space="preserve"> un 2019. gada 1. </w:t>
            </w:r>
            <w:r w:rsidR="009153F2" w:rsidRPr="00046FC6">
              <w:rPr>
                <w:rFonts w:ascii="Times New Roman" w:hAnsi="Times New Roman" w:cs="Times New Roman"/>
                <w:sz w:val="24"/>
                <w:szCs w:val="24"/>
              </w:rPr>
              <w:t>maijā</w:t>
            </w:r>
            <w:r w:rsidR="005E304E" w:rsidRPr="00046FC6">
              <w:rPr>
                <w:rStyle w:val="FootnoteReference"/>
                <w:rFonts w:ascii="Times New Roman" w:hAnsi="Times New Roman" w:cs="Times New Roman"/>
                <w:sz w:val="24"/>
                <w:szCs w:val="24"/>
              </w:rPr>
              <w:footnoteReference w:id="4"/>
            </w:r>
            <w:r w:rsidR="001A0037" w:rsidRPr="00046FC6">
              <w:rPr>
                <w:rFonts w:ascii="Times New Roman" w:hAnsi="Times New Roman" w:cs="Times New Roman"/>
                <w:sz w:val="24"/>
                <w:szCs w:val="24"/>
              </w:rPr>
              <w:t xml:space="preserve"> </w:t>
            </w:r>
            <w:r w:rsidR="0021429E" w:rsidRPr="00046FC6">
              <w:rPr>
                <w:rFonts w:ascii="Times New Roman" w:hAnsi="Times New Roman" w:cs="Times New Roman"/>
                <w:sz w:val="24"/>
                <w:szCs w:val="24"/>
              </w:rPr>
              <w:t xml:space="preserve">uz </w:t>
            </w:r>
            <w:r w:rsidR="009E7F1C" w:rsidRPr="00046FC6">
              <w:rPr>
                <w:rFonts w:ascii="Times New Roman" w:hAnsi="Times New Roman" w:cs="Times New Roman"/>
                <w:sz w:val="24"/>
                <w:szCs w:val="24"/>
              </w:rPr>
              <w:t>trim</w:t>
            </w:r>
            <w:r w:rsidR="007A576E" w:rsidRPr="00046FC6">
              <w:rPr>
                <w:rFonts w:ascii="Times New Roman" w:hAnsi="Times New Roman" w:cs="Times New Roman"/>
                <w:sz w:val="24"/>
                <w:szCs w:val="24"/>
              </w:rPr>
              <w:t> m</w:t>
            </w:r>
            <w:r w:rsidR="0021429E" w:rsidRPr="00046FC6">
              <w:rPr>
                <w:rFonts w:ascii="Times New Roman" w:hAnsi="Times New Roman" w:cs="Times New Roman"/>
                <w:sz w:val="24"/>
                <w:szCs w:val="24"/>
              </w:rPr>
              <w:t>ēnešiem atjaunoja pagaidu ierobežojumus līgumu par starpību tirdzniecībai, izplatīšanai vai pārdošanai privātiem klientiem</w:t>
            </w:r>
            <w:r w:rsidRPr="00046FC6">
              <w:rPr>
                <w:rFonts w:ascii="Times New Roman" w:hAnsi="Times New Roman" w:cs="Times New Roman"/>
                <w:sz w:val="24"/>
                <w:szCs w:val="24"/>
              </w:rPr>
              <w:t>.</w:t>
            </w:r>
          </w:p>
          <w:p w14:paraId="276EC293" w14:textId="111FA722" w:rsidR="005E304E" w:rsidRPr="00046FC6" w:rsidRDefault="00BA322F" w:rsidP="00BB7D3A">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 xml:space="preserve">EVTI no </w:t>
            </w:r>
            <w:bookmarkStart w:id="3" w:name="_Hlk173838128"/>
            <w:r w:rsidRPr="00046FC6">
              <w:rPr>
                <w:rFonts w:ascii="Times New Roman" w:hAnsi="Times New Roman" w:cs="Times New Roman"/>
                <w:sz w:val="24"/>
                <w:szCs w:val="24"/>
              </w:rPr>
              <w:t>2018.</w:t>
            </w:r>
            <w:r w:rsidR="008A60D8" w:rsidRPr="00046FC6">
              <w:rPr>
                <w:rFonts w:ascii="Times New Roman" w:hAnsi="Times New Roman" w:cs="Times New Roman"/>
                <w:sz w:val="24"/>
                <w:szCs w:val="24"/>
              </w:rPr>
              <w:t> </w:t>
            </w:r>
            <w:r w:rsidRPr="00046FC6">
              <w:rPr>
                <w:rFonts w:ascii="Times New Roman" w:hAnsi="Times New Roman" w:cs="Times New Roman"/>
                <w:sz w:val="24"/>
                <w:szCs w:val="24"/>
              </w:rPr>
              <w:t>gada 2.</w:t>
            </w:r>
            <w:r w:rsidR="008A60D8" w:rsidRPr="00046FC6">
              <w:rPr>
                <w:rFonts w:ascii="Times New Roman" w:hAnsi="Times New Roman" w:cs="Times New Roman"/>
                <w:sz w:val="24"/>
                <w:szCs w:val="24"/>
              </w:rPr>
              <w:t> </w:t>
            </w:r>
            <w:r w:rsidRPr="00046FC6">
              <w:rPr>
                <w:rFonts w:ascii="Times New Roman" w:hAnsi="Times New Roman" w:cs="Times New Roman"/>
                <w:sz w:val="24"/>
                <w:szCs w:val="24"/>
              </w:rPr>
              <w:t xml:space="preserve">jūlija uz </w:t>
            </w:r>
            <w:r w:rsidR="009E7F1C" w:rsidRPr="00046FC6">
              <w:rPr>
                <w:rFonts w:ascii="Times New Roman" w:hAnsi="Times New Roman" w:cs="Times New Roman"/>
                <w:sz w:val="24"/>
                <w:szCs w:val="24"/>
              </w:rPr>
              <w:t>trim</w:t>
            </w:r>
            <w:r w:rsidR="007A576E" w:rsidRPr="00046FC6">
              <w:rPr>
                <w:rFonts w:ascii="Times New Roman" w:hAnsi="Times New Roman" w:cs="Times New Roman"/>
                <w:sz w:val="24"/>
                <w:szCs w:val="24"/>
              </w:rPr>
              <w:t> </w:t>
            </w:r>
            <w:r w:rsidRPr="00046FC6">
              <w:rPr>
                <w:rFonts w:ascii="Times New Roman" w:hAnsi="Times New Roman" w:cs="Times New Roman"/>
                <w:sz w:val="24"/>
                <w:szCs w:val="24"/>
              </w:rPr>
              <w:t xml:space="preserve">mēnešiem noteica pagaidu aizliegumu </w:t>
            </w:r>
            <w:r w:rsidR="007A576E" w:rsidRPr="00046FC6">
              <w:rPr>
                <w:rFonts w:ascii="Times New Roman" w:hAnsi="Times New Roman" w:cs="Times New Roman"/>
                <w:sz w:val="24"/>
                <w:szCs w:val="24"/>
              </w:rPr>
              <w:t xml:space="preserve">arī </w:t>
            </w:r>
            <w:r w:rsidRPr="00046FC6">
              <w:rPr>
                <w:rFonts w:ascii="Times New Roman" w:hAnsi="Times New Roman" w:cs="Times New Roman"/>
                <w:sz w:val="24"/>
                <w:szCs w:val="24"/>
              </w:rPr>
              <w:t xml:space="preserve">bināro </w:t>
            </w:r>
            <w:r w:rsidR="00D80D24" w:rsidRPr="00046FC6">
              <w:rPr>
                <w:rFonts w:ascii="Times New Roman" w:hAnsi="Times New Roman" w:cs="Times New Roman"/>
                <w:sz w:val="24"/>
                <w:szCs w:val="24"/>
              </w:rPr>
              <w:t>iespēju līgum</w:t>
            </w:r>
            <w:r w:rsidR="008A60D8" w:rsidRPr="00046FC6">
              <w:rPr>
                <w:rFonts w:ascii="Times New Roman" w:hAnsi="Times New Roman" w:cs="Times New Roman"/>
                <w:sz w:val="24"/>
                <w:szCs w:val="24"/>
              </w:rPr>
              <w:t>u</w:t>
            </w:r>
            <w:r w:rsidRPr="00046FC6">
              <w:rPr>
                <w:rFonts w:ascii="Times New Roman" w:hAnsi="Times New Roman" w:cs="Times New Roman"/>
                <w:sz w:val="24"/>
                <w:szCs w:val="24"/>
              </w:rPr>
              <w:t xml:space="preserve"> tirdzniecībai, izplatīšanai vai pārdošanai privātiem klientiem</w:t>
            </w:r>
            <w:r w:rsidR="001A0037" w:rsidRPr="00046FC6">
              <w:rPr>
                <w:rStyle w:val="FootnoteReference"/>
                <w:rFonts w:ascii="Times New Roman" w:hAnsi="Times New Roman" w:cs="Times New Roman"/>
                <w:sz w:val="24"/>
                <w:szCs w:val="24"/>
              </w:rPr>
              <w:footnoteReference w:id="5"/>
            </w:r>
            <w:r w:rsidRPr="00046FC6">
              <w:rPr>
                <w:rFonts w:ascii="Times New Roman" w:hAnsi="Times New Roman" w:cs="Times New Roman"/>
                <w:sz w:val="24"/>
                <w:szCs w:val="24"/>
              </w:rPr>
              <w:t xml:space="preserve">. EVTI </w:t>
            </w:r>
            <w:r w:rsidR="009153F2" w:rsidRPr="00046FC6">
              <w:rPr>
                <w:rFonts w:ascii="Times New Roman" w:hAnsi="Times New Roman" w:cs="Times New Roman"/>
                <w:sz w:val="24"/>
                <w:szCs w:val="24"/>
              </w:rPr>
              <w:t xml:space="preserve">2018. gada </w:t>
            </w:r>
            <w:r w:rsidR="0021429E" w:rsidRPr="00046FC6">
              <w:rPr>
                <w:rFonts w:ascii="Times New Roman" w:hAnsi="Times New Roman" w:cs="Times New Roman"/>
                <w:sz w:val="24"/>
                <w:szCs w:val="24"/>
              </w:rPr>
              <w:t>2. oktobrī</w:t>
            </w:r>
            <w:r w:rsidR="009153F2" w:rsidRPr="00046FC6">
              <w:rPr>
                <w:rStyle w:val="FootnoteReference"/>
                <w:rFonts w:ascii="Times New Roman" w:hAnsi="Times New Roman" w:cs="Times New Roman"/>
                <w:sz w:val="24"/>
                <w:szCs w:val="24"/>
              </w:rPr>
              <w:footnoteReference w:id="6"/>
            </w:r>
            <w:r w:rsidR="009153F2" w:rsidRPr="00046FC6">
              <w:rPr>
                <w:rFonts w:ascii="Times New Roman" w:hAnsi="Times New Roman" w:cs="Times New Roman"/>
                <w:sz w:val="24"/>
                <w:szCs w:val="24"/>
              </w:rPr>
              <w:t xml:space="preserve">, </w:t>
            </w:r>
            <w:r w:rsidR="0021429E" w:rsidRPr="00046FC6">
              <w:rPr>
                <w:rFonts w:ascii="Times New Roman" w:hAnsi="Times New Roman" w:cs="Times New Roman"/>
                <w:sz w:val="24"/>
                <w:szCs w:val="24"/>
              </w:rPr>
              <w:t>2019. gada 2. janvārī</w:t>
            </w:r>
            <w:r w:rsidR="009153F2" w:rsidRPr="00046FC6">
              <w:rPr>
                <w:rStyle w:val="FootnoteReference"/>
                <w:rFonts w:ascii="Times New Roman" w:hAnsi="Times New Roman" w:cs="Times New Roman"/>
                <w:sz w:val="24"/>
                <w:szCs w:val="24"/>
              </w:rPr>
              <w:footnoteReference w:id="7"/>
            </w:r>
            <w:r w:rsidR="0021429E" w:rsidRPr="00046FC6">
              <w:rPr>
                <w:rFonts w:ascii="Times New Roman" w:hAnsi="Times New Roman" w:cs="Times New Roman"/>
                <w:sz w:val="24"/>
                <w:szCs w:val="24"/>
              </w:rPr>
              <w:t xml:space="preserve"> un </w:t>
            </w:r>
            <w:r w:rsidR="00C82C1F" w:rsidRPr="00046FC6">
              <w:rPr>
                <w:rFonts w:ascii="Times New Roman" w:hAnsi="Times New Roman" w:cs="Times New Roman"/>
                <w:sz w:val="24"/>
                <w:szCs w:val="24"/>
              </w:rPr>
              <w:t>2019. gada 2. aprīlī</w:t>
            </w:r>
            <w:r w:rsidR="00C82C1F" w:rsidRPr="00046FC6">
              <w:rPr>
                <w:rStyle w:val="FootnoteReference"/>
                <w:rFonts w:ascii="Times New Roman" w:hAnsi="Times New Roman" w:cs="Times New Roman"/>
                <w:sz w:val="24"/>
                <w:szCs w:val="24"/>
              </w:rPr>
              <w:footnoteReference w:id="8"/>
            </w:r>
            <w:r w:rsidR="00106D0B" w:rsidRPr="00046FC6">
              <w:rPr>
                <w:rFonts w:ascii="Times New Roman" w:hAnsi="Times New Roman" w:cs="Times New Roman"/>
                <w:sz w:val="24"/>
                <w:szCs w:val="24"/>
              </w:rPr>
              <w:t xml:space="preserve"> uz </w:t>
            </w:r>
            <w:r w:rsidR="009E7F1C" w:rsidRPr="00046FC6">
              <w:rPr>
                <w:rFonts w:ascii="Times New Roman" w:hAnsi="Times New Roman" w:cs="Times New Roman"/>
                <w:sz w:val="24"/>
                <w:szCs w:val="24"/>
              </w:rPr>
              <w:t>trim</w:t>
            </w:r>
            <w:r w:rsidR="007A576E" w:rsidRPr="00046FC6">
              <w:rPr>
                <w:rFonts w:ascii="Times New Roman" w:hAnsi="Times New Roman" w:cs="Times New Roman"/>
                <w:sz w:val="24"/>
                <w:szCs w:val="24"/>
              </w:rPr>
              <w:t> </w:t>
            </w:r>
            <w:r w:rsidR="00106D0B" w:rsidRPr="00046FC6">
              <w:rPr>
                <w:rFonts w:ascii="Times New Roman" w:hAnsi="Times New Roman" w:cs="Times New Roman"/>
                <w:sz w:val="24"/>
                <w:szCs w:val="24"/>
              </w:rPr>
              <w:t xml:space="preserve">mēnešiem atjaunoja pagaidu aizliegumu bināro iespēju līgumu tirdzniecībai, izplatīšanai vai pārdošanai privātiem klientiem. </w:t>
            </w:r>
            <w:bookmarkEnd w:id="3"/>
          </w:p>
          <w:p w14:paraId="48AD5540" w14:textId="1C2F28DE" w:rsidR="008648AF" w:rsidRPr="00046FC6" w:rsidRDefault="007A576E" w:rsidP="00BB7D3A">
            <w:pPr>
              <w:spacing w:after="120" w:line="240" w:lineRule="auto"/>
              <w:jc w:val="both"/>
              <w:rPr>
                <w:rFonts w:ascii="Times New Roman" w:hAnsi="Times New Roman" w:cs="Times New Roman"/>
                <w:sz w:val="24"/>
                <w:szCs w:val="24"/>
              </w:rPr>
            </w:pPr>
            <w:bookmarkStart w:id="4" w:name="_Hlk164677430"/>
            <w:bookmarkEnd w:id="0"/>
            <w:r w:rsidRPr="00046FC6">
              <w:rPr>
                <w:rFonts w:ascii="Times New Roman" w:hAnsi="Times New Roman" w:cs="Times New Roman"/>
                <w:sz w:val="24"/>
                <w:szCs w:val="24"/>
              </w:rPr>
              <w:lastRenderedPageBreak/>
              <w:t>Visu m</w:t>
            </w:r>
            <w:r w:rsidR="00E8737C" w:rsidRPr="00046FC6">
              <w:rPr>
                <w:rFonts w:ascii="Times New Roman" w:hAnsi="Times New Roman" w:cs="Times New Roman"/>
                <w:sz w:val="24"/>
                <w:szCs w:val="24"/>
              </w:rPr>
              <w:t xml:space="preserve">inēto EVTI lēmumu darbības termiņš ir beidzies, </w:t>
            </w:r>
            <w:r w:rsidR="009D4067" w:rsidRPr="00046FC6">
              <w:rPr>
                <w:rFonts w:ascii="Times New Roman" w:hAnsi="Times New Roman" w:cs="Times New Roman"/>
                <w:sz w:val="24"/>
                <w:szCs w:val="24"/>
              </w:rPr>
              <w:t>jo saskaņā ar Eiropas Parlamenta un Padomes 2014. gada 15. maija regulas (ES) Nr. 600/2014 par finanšu instrumentu tirgiem un ar ko groza regulu (ES)</w:t>
            </w:r>
            <w:r w:rsidR="00A61159" w:rsidRPr="00046FC6">
              <w:rPr>
                <w:rFonts w:ascii="Times New Roman" w:hAnsi="Times New Roman" w:cs="Times New Roman"/>
                <w:sz w:val="24"/>
                <w:szCs w:val="24"/>
              </w:rPr>
              <w:t xml:space="preserve"> </w:t>
            </w:r>
            <w:r w:rsidR="009D4067" w:rsidRPr="00046FC6">
              <w:rPr>
                <w:rFonts w:ascii="Times New Roman" w:hAnsi="Times New Roman" w:cs="Times New Roman"/>
                <w:sz w:val="24"/>
                <w:szCs w:val="24"/>
              </w:rPr>
              <w:t xml:space="preserve">Nr. 648/2012 (turpmāk – Regula Nr. 600/2014) 40. pantu EVTI ir piešķirtas tikai pagaidu intervences tiesības. </w:t>
            </w:r>
            <w:r w:rsidR="00D45E9B" w:rsidRPr="00046FC6">
              <w:rPr>
                <w:rFonts w:ascii="Times New Roman" w:hAnsi="Times New Roman" w:cs="Times New Roman"/>
                <w:sz w:val="24"/>
                <w:szCs w:val="24"/>
              </w:rPr>
              <w:t xml:space="preserve">Savukārt </w:t>
            </w:r>
            <w:r w:rsidR="00A97F5C" w:rsidRPr="00046FC6">
              <w:rPr>
                <w:rFonts w:ascii="Times New Roman" w:hAnsi="Times New Roman" w:cs="Times New Roman"/>
                <w:sz w:val="24"/>
                <w:szCs w:val="24"/>
              </w:rPr>
              <w:t xml:space="preserve">Eiropas Savienības </w:t>
            </w:r>
            <w:r w:rsidR="009D4067" w:rsidRPr="00046FC6">
              <w:rPr>
                <w:rFonts w:ascii="Times New Roman" w:hAnsi="Times New Roman" w:cs="Times New Roman"/>
                <w:sz w:val="24"/>
                <w:szCs w:val="24"/>
              </w:rPr>
              <w:t>dalībvalstu</w:t>
            </w:r>
            <w:r w:rsidR="00A97F5C" w:rsidRPr="00046FC6">
              <w:rPr>
                <w:rFonts w:ascii="Times New Roman" w:hAnsi="Times New Roman" w:cs="Times New Roman"/>
                <w:sz w:val="24"/>
                <w:szCs w:val="24"/>
              </w:rPr>
              <w:t xml:space="preserve"> (turpmāk</w:t>
            </w:r>
            <w:r w:rsidR="00A61159" w:rsidRPr="00046FC6">
              <w:rPr>
                <w:rFonts w:ascii="Times New Roman" w:hAnsi="Times New Roman" w:cs="Times New Roman"/>
                <w:sz w:val="24"/>
                <w:szCs w:val="24"/>
              </w:rPr>
              <w:t> </w:t>
            </w:r>
            <w:r w:rsidR="00A97F5C" w:rsidRPr="00046FC6">
              <w:rPr>
                <w:rFonts w:ascii="Times New Roman" w:hAnsi="Times New Roman" w:cs="Times New Roman"/>
                <w:sz w:val="24"/>
                <w:szCs w:val="24"/>
              </w:rPr>
              <w:t>– dalībvalsts)</w:t>
            </w:r>
            <w:r w:rsidR="009D4067" w:rsidRPr="00046FC6">
              <w:rPr>
                <w:rFonts w:ascii="Times New Roman" w:hAnsi="Times New Roman" w:cs="Times New Roman"/>
                <w:sz w:val="24"/>
                <w:szCs w:val="24"/>
              </w:rPr>
              <w:t xml:space="preserve"> kompetentajām iestādēm Regulas Nr. 600/2014 42. pants paredz līdzīgas intervences tiesības, bet bez termiņa ierobežojuma.</w:t>
            </w:r>
            <w:r w:rsidR="008648AF" w:rsidRPr="00046FC6">
              <w:rPr>
                <w:rFonts w:ascii="Times New Roman" w:hAnsi="Times New Roman" w:cs="Times New Roman"/>
                <w:sz w:val="24"/>
                <w:szCs w:val="24"/>
              </w:rPr>
              <w:t xml:space="preserve"> </w:t>
            </w:r>
          </w:p>
          <w:p w14:paraId="377DF8CF" w14:textId="6BE317DC" w:rsidR="00DD664A" w:rsidRPr="00046FC6" w:rsidRDefault="008648AF" w:rsidP="00BB7D3A">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S</w:t>
            </w:r>
            <w:r w:rsidR="00BA322F" w:rsidRPr="00046FC6">
              <w:rPr>
                <w:rFonts w:ascii="Times New Roman" w:hAnsi="Times New Roman" w:cs="Times New Roman"/>
                <w:sz w:val="24"/>
                <w:szCs w:val="24"/>
              </w:rPr>
              <w:t xml:space="preserve">askaņā ar EVTI Ieguldītāju aizsardzības un starpnieku pastāvīgās komitejas darba grupā sniegto informāciju lielākā daļa </w:t>
            </w:r>
            <w:r w:rsidR="00C45421" w:rsidRPr="00046FC6">
              <w:rPr>
                <w:rFonts w:ascii="Times New Roman" w:hAnsi="Times New Roman" w:cs="Times New Roman"/>
                <w:sz w:val="24"/>
                <w:szCs w:val="24"/>
              </w:rPr>
              <w:t>dalībvalstu</w:t>
            </w:r>
            <w:r w:rsidR="00BA322F" w:rsidRPr="00046FC6">
              <w:rPr>
                <w:rFonts w:ascii="Times New Roman" w:hAnsi="Times New Roman" w:cs="Times New Roman"/>
                <w:sz w:val="24"/>
                <w:szCs w:val="24"/>
              </w:rPr>
              <w:t xml:space="preserve"> kompetent</w:t>
            </w:r>
            <w:r w:rsidR="00C7276F" w:rsidRPr="00046FC6">
              <w:rPr>
                <w:rFonts w:ascii="Times New Roman" w:hAnsi="Times New Roman" w:cs="Times New Roman"/>
                <w:sz w:val="24"/>
                <w:szCs w:val="24"/>
              </w:rPr>
              <w:t>o</w:t>
            </w:r>
            <w:r w:rsidR="00BA322F" w:rsidRPr="00046FC6">
              <w:rPr>
                <w:rFonts w:ascii="Times New Roman" w:hAnsi="Times New Roman" w:cs="Times New Roman"/>
                <w:sz w:val="24"/>
                <w:szCs w:val="24"/>
              </w:rPr>
              <w:t xml:space="preserve"> iestā</w:t>
            </w:r>
            <w:r w:rsidR="00C7276F" w:rsidRPr="00046FC6">
              <w:rPr>
                <w:rFonts w:ascii="Times New Roman" w:hAnsi="Times New Roman" w:cs="Times New Roman"/>
                <w:sz w:val="24"/>
                <w:szCs w:val="24"/>
              </w:rPr>
              <w:t>žu</w:t>
            </w:r>
            <w:r w:rsidR="00DE42AA" w:rsidRPr="00046FC6">
              <w:rPr>
                <w:rFonts w:ascii="Times New Roman" w:hAnsi="Times New Roman" w:cs="Times New Roman"/>
                <w:sz w:val="24"/>
                <w:szCs w:val="24"/>
              </w:rPr>
              <w:t>,</w:t>
            </w:r>
            <w:r w:rsidR="00BA322F" w:rsidRPr="00046FC6">
              <w:rPr>
                <w:rFonts w:ascii="Times New Roman" w:hAnsi="Times New Roman" w:cs="Times New Roman"/>
                <w:sz w:val="24"/>
                <w:szCs w:val="24"/>
              </w:rPr>
              <w:t xml:space="preserve"> </w:t>
            </w:r>
            <w:r w:rsidR="00DE42AA" w:rsidRPr="00046FC6">
              <w:rPr>
                <w:rFonts w:ascii="Times New Roman" w:hAnsi="Times New Roman" w:cs="Times New Roman"/>
                <w:sz w:val="24"/>
                <w:szCs w:val="24"/>
              </w:rPr>
              <w:t xml:space="preserve">balstoties uz Regulas Nr. 600/2014 42. pantā paredzētajām tiesībām, </w:t>
            </w:r>
            <w:r w:rsidR="001D3A20" w:rsidRPr="00046FC6">
              <w:rPr>
                <w:rFonts w:ascii="Times New Roman" w:hAnsi="Times New Roman" w:cs="Times New Roman"/>
                <w:sz w:val="24"/>
                <w:szCs w:val="24"/>
              </w:rPr>
              <w:t>ir</w:t>
            </w:r>
            <w:r w:rsidR="00BA322F" w:rsidRPr="00046FC6">
              <w:rPr>
                <w:rFonts w:ascii="Times New Roman" w:hAnsi="Times New Roman" w:cs="Times New Roman"/>
                <w:sz w:val="24"/>
                <w:szCs w:val="24"/>
              </w:rPr>
              <w:t xml:space="preserve"> pieņ</w:t>
            </w:r>
            <w:r w:rsidR="001D3A20" w:rsidRPr="00046FC6">
              <w:rPr>
                <w:rFonts w:ascii="Times New Roman" w:hAnsi="Times New Roman" w:cs="Times New Roman"/>
                <w:sz w:val="24"/>
                <w:szCs w:val="24"/>
              </w:rPr>
              <w:t>ēmu</w:t>
            </w:r>
            <w:r w:rsidR="009E7F1C" w:rsidRPr="00046FC6">
              <w:rPr>
                <w:rFonts w:ascii="Times New Roman" w:hAnsi="Times New Roman" w:cs="Times New Roman"/>
                <w:sz w:val="24"/>
                <w:szCs w:val="24"/>
              </w:rPr>
              <w:t>šas</w:t>
            </w:r>
            <w:r w:rsidR="00BA322F" w:rsidRPr="00046FC6">
              <w:rPr>
                <w:rFonts w:ascii="Times New Roman" w:hAnsi="Times New Roman" w:cs="Times New Roman"/>
                <w:sz w:val="24"/>
                <w:szCs w:val="24"/>
              </w:rPr>
              <w:t xml:space="preserve"> nacionālos lēmumus par līdzīgiem ierobežojumiem, kādi </w:t>
            </w:r>
            <w:r w:rsidR="00E8737C" w:rsidRPr="00046FC6">
              <w:rPr>
                <w:rFonts w:ascii="Times New Roman" w:hAnsi="Times New Roman" w:cs="Times New Roman"/>
                <w:sz w:val="24"/>
                <w:szCs w:val="24"/>
              </w:rPr>
              <w:t xml:space="preserve">bija </w:t>
            </w:r>
            <w:r w:rsidR="00BA322F" w:rsidRPr="00046FC6">
              <w:rPr>
                <w:rFonts w:ascii="Times New Roman" w:hAnsi="Times New Roman" w:cs="Times New Roman"/>
                <w:sz w:val="24"/>
                <w:szCs w:val="24"/>
              </w:rPr>
              <w:t xml:space="preserve">noteikti </w:t>
            </w:r>
            <w:r w:rsidR="00E8737C" w:rsidRPr="00046FC6">
              <w:rPr>
                <w:rFonts w:ascii="Times New Roman" w:hAnsi="Times New Roman" w:cs="Times New Roman"/>
                <w:sz w:val="24"/>
                <w:szCs w:val="24"/>
              </w:rPr>
              <w:t xml:space="preserve">ar </w:t>
            </w:r>
            <w:r w:rsidR="00BA322F" w:rsidRPr="00046FC6">
              <w:rPr>
                <w:rFonts w:ascii="Times New Roman" w:hAnsi="Times New Roman" w:cs="Times New Roman"/>
                <w:sz w:val="24"/>
                <w:szCs w:val="24"/>
              </w:rPr>
              <w:t xml:space="preserve">EVTI </w:t>
            </w:r>
            <w:r w:rsidR="00E8737C" w:rsidRPr="00046FC6">
              <w:rPr>
                <w:rFonts w:ascii="Times New Roman" w:hAnsi="Times New Roman" w:cs="Times New Roman"/>
                <w:sz w:val="24"/>
                <w:szCs w:val="24"/>
              </w:rPr>
              <w:t>lēmumiem</w:t>
            </w:r>
            <w:r w:rsidR="00BA322F" w:rsidRPr="00046FC6">
              <w:rPr>
                <w:rFonts w:ascii="Times New Roman" w:hAnsi="Times New Roman" w:cs="Times New Roman"/>
                <w:sz w:val="24"/>
                <w:szCs w:val="24"/>
              </w:rPr>
              <w:t>.</w:t>
            </w:r>
          </w:p>
          <w:p w14:paraId="632A9E0E" w14:textId="4A783F23" w:rsidR="00E8737C" w:rsidRPr="00046FC6" w:rsidRDefault="00DD664A" w:rsidP="00BB7D3A">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Arī Latvijā ar Finanšu un kapitāla tirgus komisijas 2020. gada 4. augusta normatīvajiem noteikumiem Nr. 119 "Finanšu līgumu par starpību un bināro iespēju līgumu reklamēšanas, izplatīšanas un pārdošanas privātajiem klientiem ierobežojumu normatīvie noteikumi" (turpmāk – Noteikumi Nr. 119)</w:t>
            </w:r>
            <w:r w:rsidR="008648AF" w:rsidRPr="00046FC6">
              <w:rPr>
                <w:rFonts w:ascii="Times New Roman" w:eastAsia="Times New Roman" w:hAnsi="Times New Roman" w:cs="Times New Roman"/>
                <w:sz w:val="24"/>
                <w:szCs w:val="24"/>
                <w:lang w:eastAsia="lv-LV"/>
              </w:rPr>
              <w:t xml:space="preserve"> tika noteikti līdzvērtīgi ierobežojumi</w:t>
            </w:r>
            <w:r w:rsidRPr="00046FC6">
              <w:rPr>
                <w:rFonts w:ascii="Times New Roman" w:eastAsia="Times New Roman" w:hAnsi="Times New Roman" w:cs="Times New Roman"/>
                <w:sz w:val="24"/>
                <w:szCs w:val="24"/>
                <w:lang w:eastAsia="lv-LV"/>
              </w:rPr>
              <w:t>.</w:t>
            </w:r>
            <w:r w:rsidR="00BA322F" w:rsidRPr="00046FC6">
              <w:rPr>
                <w:rFonts w:ascii="Times New Roman" w:hAnsi="Times New Roman" w:cs="Times New Roman"/>
                <w:sz w:val="24"/>
                <w:szCs w:val="24"/>
              </w:rPr>
              <w:t xml:space="preserve"> </w:t>
            </w:r>
            <w:r w:rsidR="008648AF" w:rsidRPr="00046FC6">
              <w:rPr>
                <w:rFonts w:ascii="Times New Roman" w:hAnsi="Times New Roman" w:cs="Times New Roman"/>
                <w:sz w:val="24"/>
                <w:szCs w:val="24"/>
              </w:rPr>
              <w:t>Tomēr tie zaudēs spēku 2025. gada 1. janvārī, ņemot vērā Latvijas Bankas likuma pārejas noteikumu 3. punktā noteikto.</w:t>
            </w:r>
          </w:p>
          <w:p w14:paraId="047F1974" w14:textId="573FCBC8" w:rsidR="00BA322F" w:rsidRPr="00046FC6" w:rsidRDefault="00BA322F" w:rsidP="00BB7D3A">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Saskaņā ar EVTI publicēto viedokli</w:t>
            </w:r>
            <w:r w:rsidR="00D60794" w:rsidRPr="00046FC6">
              <w:rPr>
                <w:rStyle w:val="FootnoteReference"/>
                <w:rFonts w:ascii="Times New Roman" w:hAnsi="Times New Roman" w:cs="Times New Roman"/>
                <w:sz w:val="24"/>
                <w:szCs w:val="24"/>
              </w:rPr>
              <w:footnoteReference w:id="9"/>
            </w:r>
            <w:r w:rsidRPr="00046FC6">
              <w:rPr>
                <w:rFonts w:ascii="Times New Roman" w:hAnsi="Times New Roman" w:cs="Times New Roman"/>
                <w:sz w:val="24"/>
                <w:szCs w:val="24"/>
              </w:rPr>
              <w:t xml:space="preserve"> ir nepieciešams, lai visu dalībvalst</w:t>
            </w:r>
            <w:r w:rsidR="00D60794" w:rsidRPr="00046FC6">
              <w:rPr>
                <w:rFonts w:ascii="Times New Roman" w:hAnsi="Times New Roman" w:cs="Times New Roman"/>
                <w:sz w:val="24"/>
                <w:szCs w:val="24"/>
              </w:rPr>
              <w:t>u</w:t>
            </w:r>
            <w:r w:rsidRPr="00046FC6">
              <w:rPr>
                <w:rFonts w:ascii="Times New Roman" w:hAnsi="Times New Roman" w:cs="Times New Roman"/>
                <w:sz w:val="24"/>
                <w:szCs w:val="24"/>
              </w:rPr>
              <w:t xml:space="preserve"> uzraudzības iestādes pieņemtu lēmumus, kas ir vismaz tikpat stingri kā EVTI lēmumi.</w:t>
            </w:r>
          </w:p>
          <w:p w14:paraId="6D9B61A8" w14:textId="4FCF1322" w:rsidR="00BA322F" w:rsidRPr="00046FC6" w:rsidRDefault="009E7F1C" w:rsidP="00BB7D3A">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Līdz ar to</w:t>
            </w:r>
            <w:r w:rsidR="00BA322F" w:rsidRPr="00046FC6">
              <w:rPr>
                <w:rFonts w:ascii="Times New Roman" w:hAnsi="Times New Roman" w:cs="Times New Roman"/>
                <w:sz w:val="24"/>
                <w:szCs w:val="24"/>
              </w:rPr>
              <w:t xml:space="preserve">, ievērojot </w:t>
            </w:r>
            <w:r w:rsidR="00220A2F" w:rsidRPr="00046FC6">
              <w:rPr>
                <w:rFonts w:ascii="Times New Roman" w:hAnsi="Times New Roman" w:cs="Times New Roman"/>
                <w:sz w:val="24"/>
                <w:szCs w:val="24"/>
              </w:rPr>
              <w:t>Likuma</w:t>
            </w:r>
            <w:r w:rsidR="00BA322F" w:rsidRPr="00046FC6">
              <w:rPr>
                <w:rFonts w:ascii="Times New Roman" w:hAnsi="Times New Roman" w:cs="Times New Roman"/>
                <w:sz w:val="24"/>
                <w:szCs w:val="24"/>
              </w:rPr>
              <w:t xml:space="preserve"> </w:t>
            </w:r>
            <w:r w:rsidR="001D3A20" w:rsidRPr="00046FC6">
              <w:rPr>
                <w:rFonts w:ascii="Times New Roman" w:hAnsi="Times New Roman" w:cs="Times New Roman"/>
                <w:sz w:val="24"/>
                <w:szCs w:val="24"/>
              </w:rPr>
              <w:t>4</w:t>
            </w:r>
            <w:r w:rsidR="00220A2F" w:rsidRPr="00046FC6">
              <w:rPr>
                <w:rFonts w:ascii="Times New Roman" w:hAnsi="Times New Roman" w:cs="Times New Roman"/>
                <w:sz w:val="24"/>
                <w:szCs w:val="24"/>
              </w:rPr>
              <w:t>.</w:t>
            </w:r>
            <w:r w:rsidR="001D3A20" w:rsidRPr="00046FC6">
              <w:rPr>
                <w:rFonts w:ascii="Times New Roman" w:hAnsi="Times New Roman" w:cs="Times New Roman"/>
                <w:sz w:val="24"/>
                <w:szCs w:val="24"/>
                <w:vertAlign w:val="superscript"/>
              </w:rPr>
              <w:t>2</w:t>
            </w:r>
            <w:r w:rsidR="00F8190C" w:rsidRPr="00046FC6">
              <w:rPr>
                <w:rFonts w:ascii="Times New Roman" w:hAnsi="Times New Roman" w:cs="Times New Roman"/>
                <w:sz w:val="24"/>
                <w:szCs w:val="24"/>
              </w:rPr>
              <w:t> </w:t>
            </w:r>
            <w:r w:rsidR="00BA322F" w:rsidRPr="00046FC6">
              <w:rPr>
                <w:rFonts w:ascii="Times New Roman" w:hAnsi="Times New Roman" w:cs="Times New Roman"/>
                <w:sz w:val="24"/>
                <w:szCs w:val="24"/>
              </w:rPr>
              <w:t>pant</w:t>
            </w:r>
            <w:r w:rsidR="001D3A20" w:rsidRPr="00046FC6">
              <w:rPr>
                <w:rFonts w:ascii="Times New Roman" w:hAnsi="Times New Roman" w:cs="Times New Roman"/>
                <w:sz w:val="24"/>
                <w:szCs w:val="24"/>
              </w:rPr>
              <w:t>a</w:t>
            </w:r>
            <w:r w:rsidR="00BA322F" w:rsidRPr="00046FC6">
              <w:rPr>
                <w:rFonts w:ascii="Times New Roman" w:hAnsi="Times New Roman" w:cs="Times New Roman"/>
                <w:sz w:val="24"/>
                <w:szCs w:val="24"/>
              </w:rPr>
              <w:t xml:space="preserve"> deleģējumu</w:t>
            </w:r>
            <w:r w:rsidR="00C8521D" w:rsidRPr="00046FC6">
              <w:rPr>
                <w:rFonts w:ascii="Times New Roman" w:hAnsi="Times New Roman" w:cs="Times New Roman"/>
                <w:sz w:val="24"/>
                <w:szCs w:val="24"/>
              </w:rPr>
              <w:t xml:space="preserve"> un pamatojoties uz Regulas Nr. 600/2014 42. pantā paredzētajām tiesībām</w:t>
            </w:r>
            <w:r w:rsidR="00BA322F" w:rsidRPr="00046FC6">
              <w:rPr>
                <w:rFonts w:ascii="Times New Roman" w:hAnsi="Times New Roman" w:cs="Times New Roman"/>
                <w:sz w:val="24"/>
                <w:szCs w:val="24"/>
              </w:rPr>
              <w:t xml:space="preserve">, </w:t>
            </w:r>
            <w:r w:rsidR="001D3A20" w:rsidRPr="00046FC6">
              <w:rPr>
                <w:rFonts w:ascii="Times New Roman" w:hAnsi="Times New Roman" w:cs="Times New Roman"/>
                <w:sz w:val="24"/>
                <w:szCs w:val="24"/>
              </w:rPr>
              <w:t>Latvijas Banka</w:t>
            </w:r>
            <w:r w:rsidR="00BA322F" w:rsidRPr="00046FC6">
              <w:rPr>
                <w:rFonts w:ascii="Times New Roman" w:hAnsi="Times New Roman" w:cs="Times New Roman"/>
                <w:sz w:val="24"/>
                <w:szCs w:val="24"/>
              </w:rPr>
              <w:t xml:space="preserve"> ir izstrādājusi noteikumu projektu "</w:t>
            </w:r>
            <w:r w:rsidR="001D3A20" w:rsidRPr="00046FC6">
              <w:rPr>
                <w:rFonts w:ascii="Times New Roman" w:hAnsi="Times New Roman" w:cs="Times New Roman"/>
                <w:sz w:val="24"/>
                <w:szCs w:val="24"/>
              </w:rPr>
              <w:t xml:space="preserve">Noteikumi par </w:t>
            </w:r>
            <w:r w:rsidR="00C10CD5" w:rsidRPr="00046FC6">
              <w:rPr>
                <w:rFonts w:ascii="Times New Roman" w:hAnsi="Times New Roman" w:cs="Times New Roman"/>
                <w:sz w:val="24"/>
                <w:szCs w:val="24"/>
              </w:rPr>
              <w:t xml:space="preserve">bināro iespēju līgumiem un </w:t>
            </w:r>
            <w:r w:rsidR="001D3A20" w:rsidRPr="00046FC6">
              <w:rPr>
                <w:rFonts w:ascii="Times New Roman" w:hAnsi="Times New Roman" w:cs="Times New Roman"/>
                <w:sz w:val="24"/>
                <w:szCs w:val="24"/>
              </w:rPr>
              <w:t>finanšu līgumiem par starpību</w:t>
            </w:r>
            <w:r w:rsidR="00F8190C" w:rsidRPr="00046FC6">
              <w:rPr>
                <w:rFonts w:ascii="Times New Roman" w:hAnsi="Times New Roman" w:cs="Times New Roman"/>
                <w:sz w:val="24"/>
                <w:szCs w:val="24"/>
              </w:rPr>
              <w:t>"</w:t>
            </w:r>
            <w:r w:rsidR="00BA322F" w:rsidRPr="00046FC6">
              <w:rPr>
                <w:rFonts w:ascii="Times New Roman" w:hAnsi="Times New Roman" w:cs="Times New Roman"/>
                <w:sz w:val="24"/>
                <w:szCs w:val="24"/>
              </w:rPr>
              <w:t xml:space="preserve"> (turpmāk</w:t>
            </w:r>
            <w:r w:rsidR="00F8190C" w:rsidRPr="00046FC6">
              <w:rPr>
                <w:rFonts w:ascii="Times New Roman" w:hAnsi="Times New Roman" w:cs="Times New Roman"/>
                <w:sz w:val="24"/>
                <w:szCs w:val="24"/>
              </w:rPr>
              <w:t> </w:t>
            </w:r>
            <w:r w:rsidR="00BA322F" w:rsidRPr="00046FC6">
              <w:rPr>
                <w:rFonts w:ascii="Times New Roman" w:hAnsi="Times New Roman" w:cs="Times New Roman"/>
                <w:sz w:val="24"/>
                <w:szCs w:val="24"/>
              </w:rPr>
              <w:t>– noteikumu projekts).</w:t>
            </w:r>
            <w:r w:rsidR="00DE42AA" w:rsidRPr="00046FC6">
              <w:rPr>
                <w:rFonts w:ascii="Times New Roman" w:hAnsi="Times New Roman" w:cs="Times New Roman"/>
                <w:sz w:val="24"/>
                <w:szCs w:val="24"/>
              </w:rPr>
              <w:t xml:space="preserve"> </w:t>
            </w:r>
            <w:r w:rsidR="00ED0F5A" w:rsidRPr="00046FC6">
              <w:rPr>
                <w:rFonts w:ascii="Times New Roman" w:hAnsi="Times New Roman" w:cs="Times New Roman"/>
                <w:sz w:val="24"/>
                <w:szCs w:val="24"/>
              </w:rPr>
              <w:t>N</w:t>
            </w:r>
            <w:r w:rsidR="00ED0F5A" w:rsidRPr="00046FC6">
              <w:rPr>
                <w:rFonts w:ascii="Times New Roman" w:eastAsia="Times New Roman" w:hAnsi="Times New Roman" w:cs="Times New Roman"/>
                <w:sz w:val="24"/>
                <w:szCs w:val="24"/>
                <w:lang w:eastAsia="lv-LV"/>
              </w:rPr>
              <w:t xml:space="preserve">oteikumu projekts pēc būtības nemaina spēkā esošo regulējumu vai prasības, kas šobrīd </w:t>
            </w:r>
            <w:r w:rsidRPr="00046FC6">
              <w:rPr>
                <w:rFonts w:ascii="Times New Roman" w:eastAsia="Times New Roman" w:hAnsi="Times New Roman" w:cs="Times New Roman"/>
                <w:sz w:val="24"/>
                <w:szCs w:val="24"/>
                <w:lang w:eastAsia="lv-LV"/>
              </w:rPr>
              <w:t>noteiktas</w:t>
            </w:r>
            <w:r w:rsidR="00ED0F5A" w:rsidRPr="00046FC6">
              <w:rPr>
                <w:rFonts w:ascii="Times New Roman" w:eastAsia="Times New Roman" w:hAnsi="Times New Roman" w:cs="Times New Roman"/>
                <w:sz w:val="24"/>
                <w:szCs w:val="24"/>
                <w:lang w:eastAsia="lv-LV"/>
              </w:rPr>
              <w:t xml:space="preserve"> Noteikumos Nr. 119.</w:t>
            </w:r>
          </w:p>
          <w:p w14:paraId="00F51D6A" w14:textId="583F9BEC" w:rsidR="00816FEE" w:rsidRPr="00046FC6" w:rsidRDefault="00816FEE" w:rsidP="00046FC6">
            <w:pPr>
              <w:spacing w:after="120" w:line="240" w:lineRule="auto"/>
              <w:jc w:val="both"/>
              <w:rPr>
                <w:rFonts w:ascii="Times New Roman" w:hAnsi="Times New Roman" w:cs="Times New Roman"/>
                <w:iCs/>
                <w:sz w:val="24"/>
                <w:szCs w:val="24"/>
              </w:rPr>
            </w:pPr>
            <w:r w:rsidRPr="00046FC6">
              <w:rPr>
                <w:rFonts w:ascii="Times New Roman" w:hAnsi="Times New Roman" w:cs="Times New Roman"/>
                <w:iCs/>
                <w:sz w:val="24"/>
                <w:szCs w:val="24"/>
              </w:rPr>
              <w:t xml:space="preserve">Noteikumu projekta prasības būs piemērojamas </w:t>
            </w:r>
            <w:r w:rsidR="00FF7637" w:rsidRPr="00046FC6">
              <w:rPr>
                <w:rFonts w:ascii="Times New Roman" w:hAnsi="Times New Roman" w:cs="Times New Roman"/>
                <w:iCs/>
                <w:sz w:val="24"/>
                <w:szCs w:val="24"/>
              </w:rPr>
              <w:t>finanšu tirgus dalībniekiem</w:t>
            </w:r>
            <w:r w:rsidRPr="00046FC6">
              <w:rPr>
                <w:rFonts w:ascii="Times New Roman" w:hAnsi="Times New Roman" w:cs="Times New Roman"/>
                <w:sz w:val="24"/>
                <w:szCs w:val="24"/>
              </w:rPr>
              <w:t>, kur</w:t>
            </w:r>
            <w:r w:rsidR="00FF7637" w:rsidRPr="00046FC6">
              <w:rPr>
                <w:rFonts w:ascii="Times New Roman" w:hAnsi="Times New Roman" w:cs="Times New Roman"/>
                <w:sz w:val="24"/>
                <w:szCs w:val="24"/>
              </w:rPr>
              <w:t xml:space="preserve">i </w:t>
            </w:r>
            <w:r w:rsidR="00ED0F5A" w:rsidRPr="00046FC6">
              <w:rPr>
                <w:rFonts w:ascii="Times New Roman" w:hAnsi="Times New Roman" w:cs="Times New Roman"/>
                <w:sz w:val="24"/>
                <w:szCs w:val="24"/>
              </w:rPr>
              <w:t xml:space="preserve">Latvijā vai no Latvijas </w:t>
            </w:r>
            <w:r w:rsidR="00FF7637" w:rsidRPr="00046FC6">
              <w:rPr>
                <w:rFonts w:ascii="Times New Roman" w:hAnsi="Times New Roman" w:cs="Times New Roman"/>
                <w:sz w:val="24"/>
                <w:szCs w:val="24"/>
              </w:rPr>
              <w:t>piedāvā vai varētu</w:t>
            </w:r>
            <w:r w:rsidRPr="00046FC6">
              <w:rPr>
                <w:rFonts w:ascii="Times New Roman" w:hAnsi="Times New Roman" w:cs="Times New Roman"/>
                <w:sz w:val="24"/>
                <w:szCs w:val="24"/>
              </w:rPr>
              <w:t xml:space="preserve"> piedāvāt privātiem klientiem </w:t>
            </w:r>
            <w:r w:rsidR="0039734C" w:rsidRPr="00046FC6">
              <w:rPr>
                <w:rFonts w:ascii="Times New Roman" w:hAnsi="Times New Roman" w:cs="Times New Roman"/>
                <w:iCs/>
                <w:sz w:val="24"/>
                <w:szCs w:val="24"/>
              </w:rPr>
              <w:t xml:space="preserve">bināro iespēju līgumus vai </w:t>
            </w:r>
            <w:r w:rsidRPr="00046FC6">
              <w:rPr>
                <w:rFonts w:ascii="Times New Roman" w:hAnsi="Times New Roman" w:cs="Times New Roman"/>
                <w:iCs/>
                <w:sz w:val="24"/>
                <w:szCs w:val="24"/>
              </w:rPr>
              <w:t>līgumus par starpību, t.</w:t>
            </w:r>
            <w:r w:rsidR="00A61159" w:rsidRPr="00046FC6">
              <w:rPr>
                <w:rFonts w:ascii="Times New Roman" w:hAnsi="Times New Roman" w:cs="Times New Roman"/>
                <w:iCs/>
                <w:sz w:val="24"/>
                <w:szCs w:val="24"/>
              </w:rPr>
              <w:t> </w:t>
            </w:r>
            <w:r w:rsidRPr="00046FC6">
              <w:rPr>
                <w:rFonts w:ascii="Times New Roman" w:hAnsi="Times New Roman" w:cs="Times New Roman"/>
                <w:iCs/>
                <w:sz w:val="24"/>
                <w:szCs w:val="24"/>
              </w:rPr>
              <w:t>i., Likuma 3. panta ceturtās daļas 1.–5. punktā minētos ieguldījumu pakalpojumus attiecībā uz līgumiem par starpību un bināro iespēju līgum</w:t>
            </w:r>
            <w:r w:rsidR="004E709D" w:rsidRPr="00046FC6">
              <w:rPr>
                <w:rFonts w:ascii="Times New Roman" w:hAnsi="Times New Roman" w:cs="Times New Roman"/>
                <w:iCs/>
                <w:sz w:val="24"/>
                <w:szCs w:val="24"/>
              </w:rPr>
              <w:t>iem</w:t>
            </w:r>
            <w:r w:rsidRPr="00046FC6">
              <w:rPr>
                <w:rFonts w:ascii="Times New Roman" w:hAnsi="Times New Roman" w:cs="Times New Roman"/>
                <w:iCs/>
                <w:sz w:val="24"/>
                <w:szCs w:val="24"/>
              </w:rPr>
              <w:t>.</w:t>
            </w:r>
          </w:p>
          <w:p w14:paraId="47948DAA" w14:textId="413DBB94" w:rsidR="00BA322F" w:rsidRPr="00046FC6" w:rsidRDefault="00BA322F" w:rsidP="00BB7D3A">
            <w:pPr>
              <w:pStyle w:val="Teksts1"/>
              <w:spacing w:after="120"/>
              <w:rPr>
                <w:iCs/>
                <w:szCs w:val="24"/>
              </w:rPr>
            </w:pPr>
            <w:r w:rsidRPr="00046FC6">
              <w:rPr>
                <w:iCs/>
                <w:szCs w:val="24"/>
              </w:rPr>
              <w:t>Noteikumu projekts ir nepieciešams, lai</w:t>
            </w:r>
            <w:r w:rsidRPr="00046FC6">
              <w:rPr>
                <w:szCs w:val="24"/>
              </w:rPr>
              <w:t xml:space="preserve"> ar brīdi, kad </w:t>
            </w:r>
            <w:r w:rsidR="001D3A20" w:rsidRPr="00046FC6">
              <w:rPr>
                <w:szCs w:val="24"/>
              </w:rPr>
              <w:t xml:space="preserve">zaudēs spēku </w:t>
            </w:r>
            <w:r w:rsidR="00DD664A" w:rsidRPr="00046FC6">
              <w:rPr>
                <w:szCs w:val="24"/>
                <w:lang w:eastAsia="lv-LV"/>
              </w:rPr>
              <w:t>Noteikumi Nr. 119</w:t>
            </w:r>
            <w:r w:rsidR="00324D42" w:rsidRPr="00046FC6">
              <w:rPr>
                <w:szCs w:val="24"/>
              </w:rPr>
              <w:t xml:space="preserve">, </w:t>
            </w:r>
            <w:r w:rsidR="009D6A56" w:rsidRPr="00046FC6">
              <w:rPr>
                <w:szCs w:val="24"/>
              </w:rPr>
              <w:t>būtu</w:t>
            </w:r>
            <w:r w:rsidRPr="00046FC6">
              <w:rPr>
                <w:szCs w:val="24"/>
              </w:rPr>
              <w:t xml:space="preserve"> </w:t>
            </w:r>
            <w:r w:rsidR="00C7276F" w:rsidRPr="00046FC6">
              <w:rPr>
                <w:szCs w:val="24"/>
              </w:rPr>
              <w:t xml:space="preserve">noteikti </w:t>
            </w:r>
            <w:r w:rsidR="009D6A56" w:rsidRPr="00046FC6">
              <w:rPr>
                <w:szCs w:val="24"/>
              </w:rPr>
              <w:t xml:space="preserve">jauni </w:t>
            </w:r>
            <w:r w:rsidRPr="00046FC6">
              <w:rPr>
                <w:szCs w:val="24"/>
              </w:rPr>
              <w:t xml:space="preserve">EVTI lēmumiem līdzīgi </w:t>
            </w:r>
            <w:r w:rsidR="00F8663F" w:rsidRPr="00046FC6">
              <w:rPr>
                <w:szCs w:val="24"/>
              </w:rPr>
              <w:t xml:space="preserve">pastāvīgi </w:t>
            </w:r>
            <w:r w:rsidRPr="00046FC6">
              <w:rPr>
                <w:szCs w:val="24"/>
              </w:rPr>
              <w:t xml:space="preserve">ierobežojumi. </w:t>
            </w:r>
            <w:r w:rsidR="000F531B" w:rsidRPr="00046FC6">
              <w:rPr>
                <w:szCs w:val="24"/>
              </w:rPr>
              <w:t>Pretējā gadījumā t</w:t>
            </w:r>
            <w:r w:rsidRPr="00046FC6">
              <w:rPr>
                <w:szCs w:val="24"/>
              </w:rPr>
              <w:t>as var negatīvi ietekmēt Latvijas finanšu sistēmas reputāciju un mazināt Latvijas ieguldītāju aizsardzību. Lai ieguldījumu pakalpojumu sniegšanas nosacījumi Latvijā būtu līdzīgi kā citās dalībvalstīs un neveido</w:t>
            </w:r>
            <w:r w:rsidR="00F8663F" w:rsidRPr="00046FC6">
              <w:rPr>
                <w:szCs w:val="24"/>
              </w:rPr>
              <w:t>tos</w:t>
            </w:r>
            <w:r w:rsidRPr="00046FC6">
              <w:rPr>
                <w:szCs w:val="24"/>
              </w:rPr>
              <w:t xml:space="preserve"> būtiskas regulējuma apiešanas iespējas (turpmāk – </w:t>
            </w:r>
            <w:r w:rsidRPr="00046FC6">
              <w:rPr>
                <w:szCs w:val="24"/>
              </w:rPr>
              <w:lastRenderedPageBreak/>
              <w:t>regulējuma</w:t>
            </w:r>
            <w:r w:rsidRPr="00046FC6">
              <w:rPr>
                <w:b/>
                <w:szCs w:val="24"/>
              </w:rPr>
              <w:t xml:space="preserve"> </w:t>
            </w:r>
            <w:r w:rsidRPr="00046FC6">
              <w:rPr>
                <w:szCs w:val="24"/>
              </w:rPr>
              <w:t xml:space="preserve">arbitrāža), ir nepieciešams </w:t>
            </w:r>
            <w:r w:rsidR="00C7276F" w:rsidRPr="00046FC6">
              <w:rPr>
                <w:szCs w:val="24"/>
              </w:rPr>
              <w:t xml:space="preserve">izdot </w:t>
            </w:r>
            <w:r w:rsidR="00324D42" w:rsidRPr="00046FC6">
              <w:rPr>
                <w:szCs w:val="24"/>
              </w:rPr>
              <w:t>Latvijas Bankas</w:t>
            </w:r>
            <w:r w:rsidRPr="00046FC6">
              <w:rPr>
                <w:szCs w:val="24"/>
              </w:rPr>
              <w:t xml:space="preserve"> noteikumus par </w:t>
            </w:r>
            <w:r w:rsidR="0027603C" w:rsidRPr="00046FC6">
              <w:rPr>
                <w:iCs/>
                <w:szCs w:val="24"/>
              </w:rPr>
              <w:t xml:space="preserve">bināro iespēju līgumu un </w:t>
            </w:r>
            <w:r w:rsidR="00324D42" w:rsidRPr="00046FC6">
              <w:rPr>
                <w:iCs/>
                <w:szCs w:val="24"/>
              </w:rPr>
              <w:t>līgumu par starpību</w:t>
            </w:r>
            <w:r w:rsidRPr="00046FC6">
              <w:rPr>
                <w:iCs/>
                <w:szCs w:val="24"/>
              </w:rPr>
              <w:t xml:space="preserve"> reklamēšanu, izplatīšanu un pārdošanu Latvijā un no Latvijas.</w:t>
            </w:r>
          </w:p>
          <w:bookmarkEnd w:id="4"/>
          <w:p w14:paraId="74340D50" w14:textId="5A978D54" w:rsidR="00AE2B12" w:rsidRPr="00046FC6" w:rsidRDefault="00AE2B12" w:rsidP="00BB7D3A">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 xml:space="preserve">Noteikumu projekts izstrādāts, pamatojoties uz </w:t>
            </w:r>
            <w:r w:rsidR="00220A2F" w:rsidRPr="00046FC6">
              <w:rPr>
                <w:rFonts w:ascii="Times New Roman" w:hAnsi="Times New Roman" w:cs="Times New Roman"/>
                <w:sz w:val="24"/>
                <w:szCs w:val="24"/>
              </w:rPr>
              <w:t>L</w:t>
            </w:r>
            <w:r w:rsidR="00324D42" w:rsidRPr="00046FC6">
              <w:rPr>
                <w:rFonts w:ascii="Times New Roman" w:hAnsi="Times New Roman" w:cs="Times New Roman"/>
                <w:sz w:val="24"/>
                <w:szCs w:val="24"/>
              </w:rPr>
              <w:t>ikuma 4.</w:t>
            </w:r>
            <w:r w:rsidR="00324D42" w:rsidRPr="00046FC6">
              <w:rPr>
                <w:rFonts w:ascii="Times New Roman" w:hAnsi="Times New Roman" w:cs="Times New Roman"/>
                <w:sz w:val="24"/>
                <w:szCs w:val="24"/>
                <w:vertAlign w:val="superscript"/>
              </w:rPr>
              <w:t>2</w:t>
            </w:r>
            <w:r w:rsidR="00F8190C" w:rsidRPr="00046FC6">
              <w:rPr>
                <w:rFonts w:ascii="Times New Roman" w:hAnsi="Times New Roman" w:cs="Times New Roman"/>
                <w:sz w:val="24"/>
                <w:szCs w:val="24"/>
                <w:vertAlign w:val="superscript"/>
              </w:rPr>
              <w:t> </w:t>
            </w:r>
            <w:r w:rsidR="00324D42" w:rsidRPr="00046FC6">
              <w:rPr>
                <w:rFonts w:ascii="Times New Roman" w:hAnsi="Times New Roman" w:cs="Times New Roman"/>
                <w:sz w:val="24"/>
                <w:szCs w:val="24"/>
              </w:rPr>
              <w:t>pant</w:t>
            </w:r>
            <w:r w:rsidR="001C772E" w:rsidRPr="00046FC6">
              <w:rPr>
                <w:rFonts w:ascii="Times New Roman" w:hAnsi="Times New Roman" w:cs="Times New Roman"/>
                <w:sz w:val="24"/>
                <w:szCs w:val="24"/>
              </w:rPr>
              <w:t>ā</w:t>
            </w:r>
            <w:r w:rsidR="00324D42" w:rsidRPr="00046FC6">
              <w:rPr>
                <w:rFonts w:ascii="Times New Roman" w:hAnsi="Times New Roman" w:cs="Times New Roman"/>
                <w:sz w:val="24"/>
                <w:szCs w:val="24"/>
              </w:rPr>
              <w:t xml:space="preserve"> </w:t>
            </w:r>
            <w:r w:rsidR="00A153C8" w:rsidRPr="00046FC6">
              <w:rPr>
                <w:rFonts w:ascii="Times New Roman" w:hAnsi="Times New Roman" w:cs="Times New Roman"/>
                <w:sz w:val="24"/>
                <w:szCs w:val="24"/>
              </w:rPr>
              <w:t>Latvijas Bankai</w:t>
            </w:r>
            <w:r w:rsidRPr="00046FC6">
              <w:rPr>
                <w:rFonts w:ascii="Times New Roman" w:hAnsi="Times New Roman" w:cs="Times New Roman"/>
                <w:sz w:val="24"/>
                <w:szCs w:val="24"/>
              </w:rPr>
              <w:t xml:space="preserve"> </w:t>
            </w:r>
            <w:r w:rsidR="00554395" w:rsidRPr="00046FC6">
              <w:rPr>
                <w:rFonts w:ascii="Times New Roman" w:hAnsi="Times New Roman" w:cs="Times New Roman"/>
                <w:sz w:val="24"/>
                <w:szCs w:val="24"/>
              </w:rPr>
              <w:t xml:space="preserve">paredzētajām </w:t>
            </w:r>
            <w:r w:rsidRPr="00046FC6">
              <w:rPr>
                <w:rFonts w:ascii="Times New Roman" w:hAnsi="Times New Roman" w:cs="Times New Roman"/>
                <w:sz w:val="24"/>
                <w:szCs w:val="24"/>
              </w:rPr>
              <w:t>tiesībām</w:t>
            </w:r>
            <w:r w:rsidR="00554395" w:rsidRPr="00046FC6">
              <w:rPr>
                <w:rFonts w:ascii="Times New Roman" w:hAnsi="Times New Roman" w:cs="Times New Roman"/>
                <w:sz w:val="24"/>
                <w:szCs w:val="24"/>
              </w:rPr>
              <w:t xml:space="preserve"> </w:t>
            </w:r>
            <w:r w:rsidR="00121094" w:rsidRPr="00046FC6">
              <w:rPr>
                <w:rFonts w:ascii="Times New Roman" w:hAnsi="Times New Roman" w:cs="Times New Roman"/>
                <w:sz w:val="24"/>
                <w:szCs w:val="24"/>
              </w:rPr>
              <w:t>noteikt finanšu tirgus dalībnieku darbību regulējošas papildu prasības</w:t>
            </w:r>
            <w:r w:rsidR="00554395" w:rsidRPr="00046FC6">
              <w:rPr>
                <w:rFonts w:ascii="Times New Roman" w:hAnsi="Times New Roman" w:cs="Times New Roman"/>
                <w:sz w:val="24"/>
                <w:szCs w:val="24"/>
              </w:rPr>
              <w:t xml:space="preserve">, kā arī </w:t>
            </w:r>
            <w:r w:rsidR="001C772E" w:rsidRPr="00046FC6">
              <w:rPr>
                <w:rFonts w:ascii="Times New Roman" w:hAnsi="Times New Roman" w:cs="Times New Roman"/>
                <w:sz w:val="24"/>
                <w:szCs w:val="24"/>
              </w:rPr>
              <w:t>ievērojot</w:t>
            </w:r>
            <w:r w:rsidR="00554395" w:rsidRPr="00046FC6">
              <w:rPr>
                <w:rFonts w:ascii="Times New Roman" w:hAnsi="Times New Roman" w:cs="Times New Roman"/>
                <w:sz w:val="24"/>
                <w:szCs w:val="24"/>
              </w:rPr>
              <w:t xml:space="preserve"> Regulas Nr. 600/2014 42.</w:t>
            </w:r>
            <w:r w:rsidR="00E51E4A" w:rsidRPr="00046FC6">
              <w:rPr>
                <w:rFonts w:ascii="Times New Roman" w:hAnsi="Times New Roman" w:cs="Times New Roman"/>
                <w:sz w:val="24"/>
                <w:szCs w:val="24"/>
              </w:rPr>
              <w:t> </w:t>
            </w:r>
            <w:r w:rsidR="00554395" w:rsidRPr="00046FC6">
              <w:rPr>
                <w:rFonts w:ascii="Times New Roman" w:hAnsi="Times New Roman" w:cs="Times New Roman"/>
                <w:sz w:val="24"/>
                <w:szCs w:val="24"/>
              </w:rPr>
              <w:t>pantā dalībvalstu kompetentajām iestādēm paredzētās intervences tiesības</w:t>
            </w:r>
            <w:r w:rsidRPr="00046FC6">
              <w:rPr>
                <w:rFonts w:ascii="Times New Roman" w:hAnsi="Times New Roman" w:cs="Times New Roman"/>
                <w:sz w:val="24"/>
                <w:szCs w:val="24"/>
              </w:rPr>
              <w:t>.</w:t>
            </w:r>
          </w:p>
          <w:p w14:paraId="1058D675" w14:textId="62A1A605" w:rsidR="00605922" w:rsidRPr="00046FC6" w:rsidRDefault="00AE2B12" w:rsidP="00BB7D3A">
            <w:pPr>
              <w:pStyle w:val="CM1"/>
              <w:spacing w:after="120"/>
              <w:jc w:val="both"/>
              <w:rPr>
                <w:rFonts w:ascii="Times New Roman" w:hAnsi="Times New Roman" w:cs="Times New Roman"/>
                <w:lang w:val="lv-LV"/>
              </w:rPr>
            </w:pPr>
            <w:r w:rsidRPr="00046FC6">
              <w:rPr>
                <w:rFonts w:ascii="Times New Roman" w:eastAsia="Times New Roman" w:hAnsi="Times New Roman" w:cs="Times New Roman"/>
                <w:lang w:val="lv-LV" w:eastAsia="ar-SA"/>
              </w:rPr>
              <w:t xml:space="preserve">Saskaņā ar </w:t>
            </w:r>
            <w:r w:rsidR="00A83584" w:rsidRPr="00046FC6">
              <w:rPr>
                <w:rFonts w:ascii="Times New Roman" w:eastAsia="Times New Roman" w:hAnsi="Times New Roman" w:cs="Times New Roman"/>
                <w:lang w:val="lv-LV" w:eastAsia="ar-SA"/>
              </w:rPr>
              <w:t>Regulas Nr.</w:t>
            </w:r>
            <w:r w:rsidR="00E51E4A" w:rsidRPr="00046FC6">
              <w:rPr>
                <w:rFonts w:ascii="Times New Roman" w:eastAsia="Times New Roman" w:hAnsi="Times New Roman" w:cs="Times New Roman"/>
                <w:lang w:val="lv-LV" w:eastAsia="ar-SA"/>
              </w:rPr>
              <w:t> </w:t>
            </w:r>
            <w:r w:rsidR="00A83584" w:rsidRPr="00046FC6">
              <w:rPr>
                <w:rFonts w:ascii="Times New Roman" w:eastAsia="Times New Roman" w:hAnsi="Times New Roman" w:cs="Times New Roman"/>
                <w:lang w:val="lv-LV" w:eastAsia="ar-SA"/>
              </w:rPr>
              <w:t>600/2014</w:t>
            </w:r>
            <w:r w:rsidRPr="00046FC6">
              <w:rPr>
                <w:rFonts w:ascii="Times New Roman" w:eastAsia="Times New Roman" w:hAnsi="Times New Roman" w:cs="Times New Roman"/>
                <w:lang w:val="lv-LV" w:eastAsia="ar-SA"/>
              </w:rPr>
              <w:t xml:space="preserve"> 42.</w:t>
            </w:r>
            <w:r w:rsidR="00F8190C" w:rsidRPr="00046FC6">
              <w:rPr>
                <w:rFonts w:ascii="Times New Roman" w:eastAsia="Times New Roman" w:hAnsi="Times New Roman" w:cs="Times New Roman"/>
                <w:lang w:val="lv-LV" w:eastAsia="ar-SA"/>
              </w:rPr>
              <w:t> </w:t>
            </w:r>
            <w:r w:rsidRPr="00046FC6">
              <w:rPr>
                <w:rFonts w:ascii="Times New Roman" w:eastAsia="Times New Roman" w:hAnsi="Times New Roman" w:cs="Times New Roman"/>
                <w:lang w:val="lv-LV" w:eastAsia="ar-SA"/>
              </w:rPr>
              <w:t>panta 2.</w:t>
            </w:r>
            <w:r w:rsidR="00A83584" w:rsidRPr="00046FC6">
              <w:rPr>
                <w:rFonts w:ascii="Times New Roman" w:eastAsia="Times New Roman" w:hAnsi="Times New Roman" w:cs="Times New Roman"/>
                <w:lang w:val="lv-LV" w:eastAsia="ar-SA"/>
              </w:rPr>
              <w:t> </w:t>
            </w:r>
            <w:r w:rsidRPr="00046FC6">
              <w:rPr>
                <w:rFonts w:ascii="Times New Roman" w:eastAsia="Times New Roman" w:hAnsi="Times New Roman" w:cs="Times New Roman"/>
                <w:lang w:val="lv-LV" w:eastAsia="ar-SA"/>
              </w:rPr>
              <w:t>punkta a)</w:t>
            </w:r>
            <w:r w:rsidR="00F8190C" w:rsidRPr="00046FC6">
              <w:rPr>
                <w:rFonts w:ascii="Times New Roman" w:eastAsia="Times New Roman" w:hAnsi="Times New Roman" w:cs="Times New Roman"/>
                <w:lang w:val="lv-LV" w:eastAsia="ar-SA"/>
              </w:rPr>
              <w:t> </w:t>
            </w:r>
            <w:r w:rsidRPr="00046FC6">
              <w:rPr>
                <w:rFonts w:ascii="Times New Roman" w:eastAsia="Times New Roman" w:hAnsi="Times New Roman" w:cs="Times New Roman"/>
                <w:lang w:val="lv-LV" w:eastAsia="ar-SA"/>
              </w:rPr>
              <w:t>apakšpunkt</w:t>
            </w:r>
            <w:r w:rsidR="00CA2423" w:rsidRPr="00046FC6">
              <w:rPr>
                <w:rFonts w:ascii="Times New Roman" w:eastAsia="Times New Roman" w:hAnsi="Times New Roman" w:cs="Times New Roman"/>
                <w:lang w:val="lv-LV" w:eastAsia="ar-SA"/>
              </w:rPr>
              <w:t>u</w:t>
            </w:r>
            <w:r w:rsidRPr="00046FC6">
              <w:rPr>
                <w:rFonts w:ascii="Times New Roman" w:eastAsia="Times New Roman" w:hAnsi="Times New Roman" w:cs="Times New Roman"/>
                <w:lang w:val="lv-LV" w:eastAsia="ar-SA"/>
              </w:rPr>
              <w:t xml:space="preserve"> </w:t>
            </w:r>
            <w:r w:rsidR="00A153C8" w:rsidRPr="00046FC6">
              <w:rPr>
                <w:rFonts w:ascii="Times New Roman" w:eastAsia="Times New Roman" w:hAnsi="Times New Roman" w:cs="Times New Roman"/>
                <w:lang w:val="lv-LV" w:eastAsia="ar-SA"/>
              </w:rPr>
              <w:t>Latvijas Bankai</w:t>
            </w:r>
            <w:r w:rsidRPr="00046FC6">
              <w:rPr>
                <w:rFonts w:ascii="Times New Roman" w:eastAsia="Times New Roman" w:hAnsi="Times New Roman" w:cs="Times New Roman"/>
                <w:lang w:val="lv-LV" w:eastAsia="ar-SA"/>
              </w:rPr>
              <w:t xml:space="preserve"> ir tiesības </w:t>
            </w:r>
            <w:r w:rsidR="00CA2423" w:rsidRPr="00046FC6">
              <w:rPr>
                <w:rFonts w:ascii="Times New Roman" w:eastAsia="Times New Roman" w:hAnsi="Times New Roman" w:cs="Times New Roman"/>
                <w:lang w:val="lv-LV" w:eastAsia="ar-SA"/>
              </w:rPr>
              <w:t>ierobežot konkrēt</w:t>
            </w:r>
            <w:r w:rsidR="000447F2" w:rsidRPr="00046FC6">
              <w:rPr>
                <w:rFonts w:ascii="Times New Roman" w:eastAsia="Times New Roman" w:hAnsi="Times New Roman" w:cs="Times New Roman"/>
                <w:lang w:val="lv-LV" w:eastAsia="ar-SA"/>
              </w:rPr>
              <w:t>a</w:t>
            </w:r>
            <w:r w:rsidR="00CA2423" w:rsidRPr="00046FC6">
              <w:rPr>
                <w:rFonts w:ascii="Times New Roman" w:eastAsia="Times New Roman" w:hAnsi="Times New Roman" w:cs="Times New Roman"/>
                <w:lang w:val="lv-LV" w:eastAsia="ar-SA"/>
              </w:rPr>
              <w:t xml:space="preserve"> finanšu instrument</w:t>
            </w:r>
            <w:r w:rsidR="000447F2" w:rsidRPr="00046FC6">
              <w:rPr>
                <w:rFonts w:ascii="Times New Roman" w:eastAsia="Times New Roman" w:hAnsi="Times New Roman" w:cs="Times New Roman"/>
                <w:lang w:val="lv-LV" w:eastAsia="ar-SA"/>
              </w:rPr>
              <w:t>a</w:t>
            </w:r>
            <w:r w:rsidR="00CA2423" w:rsidRPr="00046FC6">
              <w:rPr>
                <w:rFonts w:ascii="Times New Roman" w:eastAsia="Times New Roman" w:hAnsi="Times New Roman" w:cs="Times New Roman"/>
                <w:lang w:val="lv-LV" w:eastAsia="ar-SA"/>
              </w:rPr>
              <w:t xml:space="preserve"> piedāvāšanu Latvijā vai no tās, </w:t>
            </w:r>
            <w:r w:rsidRPr="00046FC6">
              <w:rPr>
                <w:rFonts w:ascii="Times New Roman" w:eastAsia="Times New Roman" w:hAnsi="Times New Roman" w:cs="Times New Roman"/>
                <w:lang w:val="lv-LV" w:eastAsia="ar-SA"/>
              </w:rPr>
              <w:t xml:space="preserve">ja </w:t>
            </w:r>
            <w:r w:rsidR="00CA2423" w:rsidRPr="00046FC6">
              <w:rPr>
                <w:rFonts w:ascii="Times New Roman" w:eastAsia="Times New Roman" w:hAnsi="Times New Roman" w:cs="Times New Roman"/>
                <w:lang w:val="lv-LV" w:eastAsia="ar-SA"/>
              </w:rPr>
              <w:t xml:space="preserve">šis </w:t>
            </w:r>
            <w:r w:rsidRPr="00046FC6">
              <w:rPr>
                <w:rFonts w:ascii="Times New Roman" w:eastAsia="Times New Roman" w:hAnsi="Times New Roman" w:cs="Times New Roman"/>
                <w:lang w:val="lv-LV" w:eastAsia="ar-SA"/>
              </w:rPr>
              <w:t>finanšu instruments rada ievērojamas bažas par ieguldītāju aizsardzību vai rada draudus normālai finanšu tirgu vai preču tirgu darbībai un integritātei vai finanšu sistēmas vai tās daļas stabilitātei vismaz vienā dalībvalstī</w:t>
            </w:r>
            <w:r w:rsidRPr="00046FC6">
              <w:rPr>
                <w:rFonts w:ascii="Times New Roman" w:hAnsi="Times New Roman" w:cs="Times New Roman"/>
                <w:lang w:val="lv-LV"/>
              </w:rPr>
              <w:t xml:space="preserve">. </w:t>
            </w:r>
            <w:r w:rsidR="001C772E" w:rsidRPr="00046FC6">
              <w:rPr>
                <w:rFonts w:ascii="Times New Roman" w:hAnsi="Times New Roman" w:cs="Times New Roman"/>
                <w:lang w:val="lv-LV"/>
              </w:rPr>
              <w:t>Vienlaikus</w:t>
            </w:r>
            <w:r w:rsidR="00605922" w:rsidRPr="00046FC6">
              <w:rPr>
                <w:rFonts w:ascii="Times New Roman" w:hAnsi="Times New Roman" w:cs="Times New Roman"/>
                <w:lang w:val="lv-LV"/>
              </w:rPr>
              <w:t xml:space="preserve"> Regulas Nr. 600/2014 </w:t>
            </w:r>
            <w:r w:rsidR="00605922" w:rsidRPr="00046FC6">
              <w:rPr>
                <w:rFonts w:ascii="Times New Roman" w:eastAsia="Times New Roman" w:hAnsi="Times New Roman" w:cs="Times New Roman"/>
                <w:lang w:val="lv-LV" w:eastAsia="ar-SA"/>
              </w:rPr>
              <w:t xml:space="preserve">42. panta 2. punkta otrā daļa nosaka </w:t>
            </w:r>
            <w:r w:rsidR="00605922" w:rsidRPr="00046FC6">
              <w:rPr>
                <w:rFonts w:ascii="Times New Roman" w:hAnsi="Times New Roman" w:cs="Times New Roman"/>
                <w:lang w:val="lv-LV"/>
              </w:rPr>
              <w:t xml:space="preserve">dalībvalstu kompetentajām iestādēm </w:t>
            </w:r>
            <w:r w:rsidR="00605922" w:rsidRPr="00046FC6">
              <w:rPr>
                <w:rFonts w:ascii="Times New Roman" w:eastAsia="Times New Roman" w:hAnsi="Times New Roman" w:cs="Times New Roman"/>
                <w:lang w:val="lv-LV" w:eastAsia="ar-SA"/>
              </w:rPr>
              <w:t xml:space="preserve">tiesības pieņemt ierobežojošu lēmumu piesardzības nolūkos, pirms finanšu instruments tiek </w:t>
            </w:r>
            <w:r w:rsidR="00CA2423" w:rsidRPr="00046FC6">
              <w:rPr>
                <w:rFonts w:ascii="Times New Roman" w:eastAsia="Times New Roman" w:hAnsi="Times New Roman" w:cs="Times New Roman"/>
                <w:lang w:val="lv-LV" w:eastAsia="ar-SA"/>
              </w:rPr>
              <w:t>piedāvāts</w:t>
            </w:r>
            <w:r w:rsidR="00605922" w:rsidRPr="00046FC6">
              <w:rPr>
                <w:rFonts w:ascii="Times New Roman" w:eastAsia="Times New Roman" w:hAnsi="Times New Roman" w:cs="Times New Roman"/>
                <w:lang w:val="lv-LV" w:eastAsia="ar-SA"/>
              </w:rPr>
              <w:t xml:space="preserve"> klientiem.</w:t>
            </w:r>
          </w:p>
          <w:p w14:paraId="07BEE6DA" w14:textId="5D60A145" w:rsidR="00DE42AA" w:rsidRPr="00046FC6" w:rsidRDefault="00605922" w:rsidP="00BB7D3A">
            <w:pPr>
              <w:pStyle w:val="CM1"/>
              <w:spacing w:after="120"/>
              <w:jc w:val="both"/>
              <w:rPr>
                <w:rFonts w:ascii="Times New Roman" w:eastAsia="Times New Roman" w:hAnsi="Times New Roman" w:cs="Times New Roman"/>
                <w:lang w:val="lv-LV" w:eastAsia="ar-SA"/>
              </w:rPr>
            </w:pPr>
            <w:r w:rsidRPr="00046FC6">
              <w:rPr>
                <w:rFonts w:ascii="Times New Roman" w:hAnsi="Times New Roman" w:cs="Times New Roman"/>
                <w:lang w:val="lv-LV"/>
              </w:rPr>
              <w:t xml:space="preserve">Ievērojot minēto, </w:t>
            </w:r>
            <w:r w:rsidR="002F0B92" w:rsidRPr="00046FC6">
              <w:rPr>
                <w:rFonts w:ascii="Times New Roman" w:eastAsia="Times New Roman" w:hAnsi="Times New Roman" w:cs="Times New Roman"/>
                <w:lang w:val="lv-LV" w:eastAsia="ar-SA"/>
              </w:rPr>
              <w:t xml:space="preserve">Regulas Nr. 600/2014 42. pantā paredzētos ierobežojumus ir lietderīgi </w:t>
            </w:r>
            <w:r w:rsidR="001C772E" w:rsidRPr="00046FC6">
              <w:rPr>
                <w:rFonts w:ascii="Times New Roman" w:eastAsia="Times New Roman" w:hAnsi="Times New Roman" w:cs="Times New Roman"/>
                <w:lang w:val="lv-LV" w:eastAsia="ar-SA"/>
              </w:rPr>
              <w:t>noteikt</w:t>
            </w:r>
            <w:r w:rsidR="002F0B92" w:rsidRPr="00046FC6">
              <w:rPr>
                <w:rFonts w:ascii="Times New Roman" w:eastAsia="Times New Roman" w:hAnsi="Times New Roman" w:cs="Times New Roman"/>
                <w:lang w:val="lv-LV" w:eastAsia="ar-SA"/>
              </w:rPr>
              <w:t xml:space="preserve"> ārējā normatīvā akta (Latvijas Bankas noteikumu) </w:t>
            </w:r>
            <w:r w:rsidRPr="00046FC6">
              <w:rPr>
                <w:rFonts w:ascii="Times New Roman" w:eastAsia="Times New Roman" w:hAnsi="Times New Roman" w:cs="Times New Roman"/>
                <w:lang w:val="lv-LV" w:eastAsia="ar-SA"/>
              </w:rPr>
              <w:t>formā</w:t>
            </w:r>
            <w:r w:rsidR="00CA2423" w:rsidRPr="00046FC6">
              <w:rPr>
                <w:rFonts w:ascii="Times New Roman" w:eastAsia="Times New Roman" w:hAnsi="Times New Roman" w:cs="Times New Roman"/>
                <w:lang w:val="lv-LV" w:eastAsia="ar-SA"/>
              </w:rPr>
              <w:t>, lai šīs prasības būtu piemērojamas gan esošajiem, gan potenciāliem finanšu tirgus dalībniekiem</w:t>
            </w:r>
            <w:r w:rsidR="00711F57" w:rsidRPr="00046FC6">
              <w:rPr>
                <w:rFonts w:ascii="Times New Roman" w:eastAsia="Times New Roman" w:hAnsi="Times New Roman" w:cs="Times New Roman"/>
                <w:lang w:val="lv-LV" w:eastAsia="ar-SA"/>
              </w:rPr>
              <w:t xml:space="preserve"> </w:t>
            </w:r>
            <w:r w:rsidR="00C710C5" w:rsidRPr="00046FC6">
              <w:rPr>
                <w:rFonts w:ascii="Times New Roman" w:eastAsia="Times New Roman" w:hAnsi="Times New Roman" w:cs="Times New Roman"/>
                <w:lang w:val="lv-LV" w:eastAsia="ar-SA"/>
              </w:rPr>
              <w:t>un būtu piemērojam</w:t>
            </w:r>
            <w:r w:rsidR="000447F2" w:rsidRPr="00046FC6">
              <w:rPr>
                <w:rFonts w:ascii="Times New Roman" w:eastAsia="Times New Roman" w:hAnsi="Times New Roman" w:cs="Times New Roman"/>
                <w:lang w:val="lv-LV" w:eastAsia="ar-SA"/>
              </w:rPr>
              <w:t>a</w:t>
            </w:r>
            <w:r w:rsidR="00C710C5" w:rsidRPr="00046FC6">
              <w:rPr>
                <w:rFonts w:ascii="Times New Roman" w:eastAsia="Times New Roman" w:hAnsi="Times New Roman" w:cs="Times New Roman"/>
                <w:lang w:val="lv-LV" w:eastAsia="ar-SA"/>
              </w:rPr>
              <w:t>s vairākkārt</w:t>
            </w:r>
            <w:r w:rsidR="004F4BFE" w:rsidRPr="00046FC6">
              <w:rPr>
                <w:rFonts w:ascii="Times New Roman" w:eastAsia="Times New Roman" w:hAnsi="Times New Roman" w:cs="Times New Roman"/>
                <w:lang w:val="lv-LV" w:eastAsia="ar-SA"/>
              </w:rPr>
              <w:t>.</w:t>
            </w:r>
          </w:p>
          <w:p w14:paraId="1F311C08" w14:textId="67D0E6B8" w:rsidR="003269B2" w:rsidRPr="00046FC6" w:rsidRDefault="003269B2" w:rsidP="00046FC6">
            <w:pPr>
              <w:spacing w:after="120" w:line="240" w:lineRule="auto"/>
              <w:jc w:val="both"/>
              <w:rPr>
                <w:lang w:eastAsia="ar-SA"/>
              </w:rPr>
            </w:pPr>
            <w:r w:rsidRPr="00046FC6">
              <w:rPr>
                <w:rFonts w:ascii="Times New Roman" w:eastAsia="Times New Roman" w:hAnsi="Times New Roman" w:cs="Times New Roman"/>
                <w:sz w:val="24"/>
                <w:szCs w:val="24"/>
                <w:lang w:eastAsia="ar-SA"/>
              </w:rPr>
              <w:t>Atbilstoši Regulas Nr. 600/2014 42. panta 7. punktā paredzētajam pilnvarojumam Komisijas 2016. gada 18. maija deleģētās regulas (ES)</w:t>
            </w:r>
            <w:r w:rsidR="00A61159" w:rsidRPr="00046FC6">
              <w:rPr>
                <w:rFonts w:ascii="Times New Roman" w:eastAsia="Times New Roman" w:hAnsi="Times New Roman" w:cs="Times New Roman"/>
                <w:sz w:val="24"/>
                <w:szCs w:val="24"/>
                <w:lang w:eastAsia="ar-SA"/>
              </w:rPr>
              <w:t xml:space="preserve"> </w:t>
            </w:r>
            <w:r w:rsidRPr="00046FC6">
              <w:rPr>
                <w:rFonts w:ascii="Times New Roman" w:eastAsia="Times New Roman" w:hAnsi="Times New Roman" w:cs="Times New Roman"/>
                <w:sz w:val="24"/>
                <w:szCs w:val="24"/>
                <w:lang w:eastAsia="ar-SA"/>
              </w:rPr>
              <w:t>Nr. 2017/567, ar ko Eiropas Parlamenta un Padomes regulu (ES)</w:t>
            </w:r>
            <w:r w:rsidR="00A61159" w:rsidRPr="00046FC6">
              <w:rPr>
                <w:rFonts w:ascii="Times New Roman" w:eastAsia="Times New Roman" w:hAnsi="Times New Roman" w:cs="Times New Roman"/>
                <w:sz w:val="24"/>
                <w:szCs w:val="24"/>
                <w:lang w:eastAsia="ar-SA"/>
              </w:rPr>
              <w:t xml:space="preserve"> </w:t>
            </w:r>
            <w:r w:rsidRPr="00046FC6">
              <w:rPr>
                <w:rFonts w:ascii="Times New Roman" w:eastAsia="Times New Roman" w:hAnsi="Times New Roman" w:cs="Times New Roman"/>
                <w:sz w:val="24"/>
                <w:szCs w:val="24"/>
                <w:lang w:eastAsia="ar-SA"/>
              </w:rPr>
              <w:t>Nr. 600/2014 papildina attiecībā uz definīcijām, pārredzamību, portfeļa sablīvēšanu un produktu intervences un pozīciju uzraudzības pasākumiem (turpmāk – Deleģētā regula Nr. 2017/567) 21. pantā ir noteikti kritēriji un faktori, kas kompetentajām iestādēm jāizvērtē, lai konstatētu, ka pastāv ievērojamas bažas Regulas Nr. 600/2014 42. panta 2. punkta a) apakšpunkta izpratnē.</w:t>
            </w:r>
          </w:p>
          <w:p w14:paraId="2E288ADE" w14:textId="4ACF5322" w:rsidR="000C00DC" w:rsidRPr="004F306C" w:rsidRDefault="001A2CB3" w:rsidP="00BB7D3A">
            <w:pPr>
              <w:pStyle w:val="CM1"/>
              <w:tabs>
                <w:tab w:val="left" w:pos="322"/>
              </w:tabs>
              <w:spacing w:after="120"/>
              <w:jc w:val="both"/>
              <w:rPr>
                <w:rFonts w:ascii="Times New Roman" w:eastAsia="Times New Roman" w:hAnsi="Times New Roman" w:cs="Times New Roman"/>
                <w:lang w:val="lv-LV" w:eastAsia="ar-SA"/>
              </w:rPr>
            </w:pPr>
            <w:r w:rsidRPr="00046FC6">
              <w:rPr>
                <w:rFonts w:ascii="Times New Roman" w:eastAsia="Times New Roman" w:hAnsi="Times New Roman" w:cs="Times New Roman"/>
                <w:lang w:val="lv-LV" w:eastAsia="ar-SA"/>
              </w:rPr>
              <w:t xml:space="preserve">Latvijas Bankas vērtējumā </w:t>
            </w:r>
            <w:r w:rsidR="00B67A22" w:rsidRPr="00046FC6">
              <w:rPr>
                <w:rFonts w:ascii="Times New Roman" w:eastAsia="Times New Roman" w:hAnsi="Times New Roman" w:cs="Times New Roman"/>
                <w:lang w:val="lv-LV" w:eastAsia="ar-SA"/>
              </w:rPr>
              <w:t>noteikumu projekts atbilst Regulas Nr. 600/2014 42. panta 2. </w:t>
            </w:r>
            <w:r w:rsidR="00A3419D" w:rsidRPr="00046FC6">
              <w:rPr>
                <w:rFonts w:ascii="Times New Roman" w:eastAsia="Times New Roman" w:hAnsi="Times New Roman" w:cs="Times New Roman"/>
                <w:lang w:val="lv-LV" w:eastAsia="ar-SA"/>
              </w:rPr>
              <w:t xml:space="preserve">punktā </w:t>
            </w:r>
            <w:r w:rsidR="007F1670" w:rsidRPr="00046FC6">
              <w:rPr>
                <w:rFonts w:ascii="Times New Roman" w:eastAsia="Times New Roman" w:hAnsi="Times New Roman" w:cs="Times New Roman"/>
                <w:lang w:val="lv-LV" w:eastAsia="ar-SA"/>
              </w:rPr>
              <w:t>min</w:t>
            </w:r>
            <w:r w:rsidR="007F1670" w:rsidRPr="00046FC6">
              <w:rPr>
                <w:rFonts w:ascii="Times New Roman" w:eastAsia="Times New Roman" w:hAnsi="Times New Roman" w:cs="Times New Roman" w:hint="eastAsia"/>
                <w:lang w:val="lv-LV" w:eastAsia="ar-SA"/>
              </w:rPr>
              <w:t>ē</w:t>
            </w:r>
            <w:r w:rsidR="007F1670" w:rsidRPr="00046FC6">
              <w:rPr>
                <w:rFonts w:ascii="Times New Roman" w:eastAsia="Times New Roman" w:hAnsi="Times New Roman" w:cs="Times New Roman"/>
                <w:lang w:val="lv-LV" w:eastAsia="ar-SA"/>
              </w:rPr>
              <w:t>tajiem nosac</w:t>
            </w:r>
            <w:r w:rsidR="007F1670" w:rsidRPr="00046FC6">
              <w:rPr>
                <w:rFonts w:ascii="Times New Roman" w:eastAsia="Times New Roman" w:hAnsi="Times New Roman" w:cs="Times New Roman" w:hint="eastAsia"/>
                <w:lang w:val="lv-LV" w:eastAsia="ar-SA"/>
              </w:rPr>
              <w:t>ī</w:t>
            </w:r>
            <w:r w:rsidR="007F1670" w:rsidRPr="00046FC6">
              <w:rPr>
                <w:rFonts w:ascii="Times New Roman" w:eastAsia="Times New Roman" w:hAnsi="Times New Roman" w:cs="Times New Roman"/>
                <w:lang w:val="lv-LV" w:eastAsia="ar-SA"/>
              </w:rPr>
              <w:t xml:space="preserve">jumiem </w:t>
            </w:r>
            <w:r w:rsidR="003269B2" w:rsidRPr="00046FC6">
              <w:rPr>
                <w:rFonts w:ascii="Times New Roman" w:eastAsia="Times New Roman" w:hAnsi="Times New Roman" w:cs="Times New Roman"/>
                <w:lang w:val="lv-LV" w:eastAsia="ar-SA"/>
              </w:rPr>
              <w:t xml:space="preserve">un Deleģētās regulas </w:t>
            </w:r>
            <w:bookmarkStart w:id="5" w:name="_Hlk173840904"/>
            <w:r w:rsidR="003269B2" w:rsidRPr="00046FC6">
              <w:rPr>
                <w:rFonts w:ascii="Times New Roman" w:eastAsia="Times New Roman" w:hAnsi="Times New Roman" w:cs="Times New Roman"/>
                <w:lang w:val="lv-LV" w:eastAsia="ar-SA"/>
              </w:rPr>
              <w:t xml:space="preserve">Nr. 2017/567 </w:t>
            </w:r>
            <w:bookmarkEnd w:id="5"/>
            <w:r w:rsidR="003269B2" w:rsidRPr="00046FC6">
              <w:rPr>
                <w:rFonts w:ascii="Times New Roman" w:eastAsia="Times New Roman" w:hAnsi="Times New Roman" w:cs="Times New Roman"/>
                <w:lang w:val="lv-LV" w:eastAsia="ar-SA"/>
              </w:rPr>
              <w:t xml:space="preserve">21. panta </w:t>
            </w:r>
            <w:r w:rsidR="00B67A22" w:rsidRPr="00046FC6">
              <w:rPr>
                <w:rFonts w:ascii="Times New Roman" w:eastAsia="Times New Roman" w:hAnsi="Times New Roman" w:cs="Times New Roman"/>
                <w:lang w:val="lv-LV" w:eastAsia="ar-SA"/>
              </w:rPr>
              <w:t>nosacījumiem</w:t>
            </w:r>
            <w:r w:rsidR="00AB094C" w:rsidRPr="00046FC6">
              <w:rPr>
                <w:rFonts w:ascii="Times New Roman" w:eastAsia="Times New Roman" w:hAnsi="Times New Roman" w:cs="Times New Roman"/>
                <w:lang w:val="lv-LV" w:eastAsia="ar-SA"/>
              </w:rPr>
              <w:t xml:space="preserve">, </w:t>
            </w:r>
            <w:r w:rsidR="00B67A22" w:rsidRPr="00046FC6">
              <w:rPr>
                <w:rFonts w:ascii="Times New Roman" w:eastAsia="Times New Roman" w:hAnsi="Times New Roman" w:cs="Times New Roman"/>
                <w:lang w:val="lv-LV" w:eastAsia="ar-SA"/>
              </w:rPr>
              <w:t xml:space="preserve">jo </w:t>
            </w:r>
            <w:r w:rsidRPr="00046FC6">
              <w:rPr>
                <w:rFonts w:ascii="Times New Roman" w:eastAsia="Times New Roman" w:hAnsi="Times New Roman" w:cs="Times New Roman"/>
                <w:lang w:val="lv-LV" w:eastAsia="ar-SA"/>
              </w:rPr>
              <w:t xml:space="preserve">bināro iespēju līgumu un </w:t>
            </w:r>
            <w:r w:rsidR="0018082F" w:rsidRPr="00046FC6">
              <w:rPr>
                <w:rFonts w:ascii="Times New Roman" w:eastAsia="Times New Roman" w:hAnsi="Times New Roman" w:cs="Times New Roman"/>
                <w:lang w:val="lv-LV" w:eastAsia="ar-SA"/>
              </w:rPr>
              <w:t xml:space="preserve">finanšu </w:t>
            </w:r>
            <w:r w:rsidRPr="00046FC6">
              <w:rPr>
                <w:rFonts w:ascii="Times New Roman" w:eastAsia="Times New Roman" w:hAnsi="Times New Roman" w:cs="Times New Roman"/>
                <w:lang w:val="lv-LV" w:eastAsia="ar-SA"/>
              </w:rPr>
              <w:t xml:space="preserve">līgumu par starpību piedāvāšana </w:t>
            </w:r>
            <w:r w:rsidR="00B67A22" w:rsidRPr="00046FC6">
              <w:rPr>
                <w:rFonts w:ascii="Times New Roman" w:eastAsia="Times New Roman" w:hAnsi="Times New Roman" w:cs="Times New Roman"/>
                <w:lang w:val="lv-LV" w:eastAsia="ar-SA"/>
              </w:rPr>
              <w:t xml:space="preserve">Latvijā vai no tās </w:t>
            </w:r>
            <w:r w:rsidRPr="00046FC6">
              <w:rPr>
                <w:rFonts w:ascii="Times New Roman" w:eastAsia="Times New Roman" w:hAnsi="Times New Roman" w:cs="Times New Roman"/>
                <w:lang w:val="lv-LV" w:eastAsia="ar-SA"/>
              </w:rPr>
              <w:t>rada ievērojamas bažas par ieguldītāju aizsardzību</w:t>
            </w:r>
            <w:r w:rsidR="00AB094C" w:rsidRPr="00046FC6">
              <w:rPr>
                <w:rFonts w:ascii="Times New Roman" w:eastAsia="Times New Roman" w:hAnsi="Times New Roman" w:cs="Times New Roman"/>
                <w:lang w:val="lv-LV" w:eastAsia="ar-SA"/>
              </w:rPr>
              <w:t>. Detalizēts izvērtējums par noteikumu projekta atbilstību Regulas Nr. 600/2014 42. panta 2. punkta un Deleģētās regulas Nr. 2017/567 21. panta nosacījumiem ietverts anotācijas 1. un 2. pielikumā.</w:t>
            </w:r>
          </w:p>
        </w:tc>
      </w:tr>
      <w:tr w:rsidR="000B4E0A" w:rsidRPr="00046FC6" w14:paraId="3E6CB1B9" w14:textId="77777777" w:rsidTr="0045673B">
        <w:trPr>
          <w:trHeight w:val="567"/>
        </w:trPr>
        <w:tc>
          <w:tcPr>
            <w:tcW w:w="1483" w:type="pct"/>
            <w:shd w:val="clear" w:color="auto" w:fill="auto"/>
            <w:hideMark/>
          </w:tcPr>
          <w:p w14:paraId="211551A8" w14:textId="648366D6"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lastRenderedPageBreak/>
              <w:t>Leģitīmais mērķis</w:t>
            </w:r>
          </w:p>
        </w:tc>
        <w:tc>
          <w:tcPr>
            <w:tcW w:w="3517" w:type="pct"/>
            <w:shd w:val="clear" w:color="auto" w:fill="auto"/>
          </w:tcPr>
          <w:p w14:paraId="4EC03B69" w14:textId="2A6B4E50" w:rsidR="00BA322F" w:rsidRPr="00046FC6" w:rsidRDefault="00BA322F"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iCs/>
                <w:sz w:val="24"/>
                <w:szCs w:val="24"/>
              </w:rPr>
              <w:t xml:space="preserve">Noteikumu projekts nepieciešams, lai ierobežotu agresīvas </w:t>
            </w:r>
            <w:r w:rsidR="00A153C8" w:rsidRPr="00046FC6">
              <w:rPr>
                <w:rFonts w:ascii="Times New Roman" w:hAnsi="Times New Roman" w:cs="Times New Roman"/>
                <w:iCs/>
                <w:sz w:val="24"/>
                <w:szCs w:val="24"/>
              </w:rPr>
              <w:t>līgumu par starpību</w:t>
            </w:r>
            <w:r w:rsidRPr="00046FC6">
              <w:rPr>
                <w:rFonts w:ascii="Times New Roman" w:hAnsi="Times New Roman" w:cs="Times New Roman"/>
                <w:iCs/>
                <w:sz w:val="24"/>
                <w:szCs w:val="24"/>
              </w:rPr>
              <w:t xml:space="preserve"> un </w:t>
            </w:r>
            <w:r w:rsidR="00A153C8" w:rsidRPr="00046FC6">
              <w:rPr>
                <w:rFonts w:ascii="Times New Roman" w:hAnsi="Times New Roman" w:cs="Times New Roman"/>
                <w:iCs/>
                <w:sz w:val="24"/>
                <w:szCs w:val="24"/>
              </w:rPr>
              <w:t>bināro iespēju līgumu</w:t>
            </w:r>
            <w:r w:rsidRPr="00046FC6">
              <w:rPr>
                <w:rFonts w:ascii="Times New Roman" w:hAnsi="Times New Roman" w:cs="Times New Roman"/>
                <w:iCs/>
                <w:sz w:val="24"/>
                <w:szCs w:val="24"/>
              </w:rPr>
              <w:t xml:space="preserve"> reklamēšanas, izplatīšanas un pārdošanas paņēmienus attiecībā pret privāt</w:t>
            </w:r>
            <w:r w:rsidR="00825A84" w:rsidRPr="00046FC6">
              <w:rPr>
                <w:rFonts w:ascii="Times New Roman" w:hAnsi="Times New Roman" w:cs="Times New Roman"/>
                <w:iCs/>
                <w:sz w:val="24"/>
                <w:szCs w:val="24"/>
              </w:rPr>
              <w:t>iem</w:t>
            </w:r>
            <w:r w:rsidRPr="00046FC6">
              <w:rPr>
                <w:rFonts w:ascii="Times New Roman" w:hAnsi="Times New Roman" w:cs="Times New Roman"/>
                <w:iCs/>
                <w:sz w:val="24"/>
                <w:szCs w:val="24"/>
              </w:rPr>
              <w:t xml:space="preserve"> klientiem</w:t>
            </w:r>
            <w:r w:rsidR="00A61159" w:rsidRPr="00046FC6">
              <w:rPr>
                <w:rFonts w:ascii="Times New Roman" w:hAnsi="Times New Roman" w:cs="Times New Roman"/>
                <w:iCs/>
                <w:sz w:val="24"/>
                <w:szCs w:val="24"/>
              </w:rPr>
              <w:t> </w:t>
            </w:r>
            <w:r w:rsidRPr="00046FC6">
              <w:rPr>
                <w:rFonts w:ascii="Times New Roman" w:hAnsi="Times New Roman" w:cs="Times New Roman"/>
                <w:iCs/>
                <w:sz w:val="24"/>
                <w:szCs w:val="24"/>
              </w:rPr>
              <w:t>– neprofesionāliem ieguldītājiem</w:t>
            </w:r>
            <w:r w:rsidR="000447F2" w:rsidRPr="00046FC6">
              <w:rPr>
                <w:rFonts w:ascii="Times New Roman" w:hAnsi="Times New Roman" w:cs="Times New Roman"/>
                <w:iCs/>
                <w:sz w:val="24"/>
                <w:szCs w:val="24"/>
              </w:rPr>
              <w:t> –</w:t>
            </w:r>
            <w:r w:rsidRPr="00046FC6">
              <w:rPr>
                <w:rFonts w:ascii="Times New Roman" w:hAnsi="Times New Roman" w:cs="Times New Roman"/>
                <w:iCs/>
                <w:sz w:val="24"/>
                <w:szCs w:val="24"/>
              </w:rPr>
              <w:t>, kā arī novērstu nepiemērotas informācijas sniegšanu, kā rezultātā privātie klienti varētu neizprast šo produktu pamatā esošos riskus</w:t>
            </w:r>
            <w:r w:rsidR="001119AC" w:rsidRPr="00046FC6">
              <w:rPr>
                <w:rFonts w:ascii="Times New Roman" w:hAnsi="Times New Roman" w:cs="Times New Roman"/>
                <w:iCs/>
                <w:sz w:val="24"/>
                <w:szCs w:val="24"/>
              </w:rPr>
              <w:t xml:space="preserve">. </w:t>
            </w:r>
            <w:r w:rsidR="000447F2" w:rsidRPr="00046FC6">
              <w:rPr>
                <w:rFonts w:ascii="Times New Roman" w:hAnsi="Times New Roman" w:cs="Times New Roman"/>
                <w:iCs/>
                <w:sz w:val="24"/>
                <w:szCs w:val="24"/>
              </w:rPr>
              <w:t xml:space="preserve">Līdz ar to </w:t>
            </w:r>
            <w:r w:rsidR="001119AC" w:rsidRPr="00046FC6">
              <w:rPr>
                <w:rFonts w:ascii="Times New Roman" w:hAnsi="Times New Roman" w:cs="Times New Roman"/>
                <w:iCs/>
                <w:sz w:val="24"/>
                <w:szCs w:val="24"/>
              </w:rPr>
              <w:t xml:space="preserve">noteikumu projekts nepieciešams </w:t>
            </w:r>
            <w:r w:rsidRPr="00046FC6">
              <w:rPr>
                <w:rFonts w:ascii="Times New Roman" w:hAnsi="Times New Roman" w:cs="Times New Roman"/>
                <w:sz w:val="24"/>
                <w:szCs w:val="24"/>
              </w:rPr>
              <w:t xml:space="preserve">ieguldītāju interešu </w:t>
            </w:r>
            <w:r w:rsidRPr="00046FC6">
              <w:rPr>
                <w:rFonts w:ascii="Times New Roman" w:hAnsi="Times New Roman" w:cs="Times New Roman"/>
                <w:sz w:val="24"/>
                <w:szCs w:val="24"/>
              </w:rPr>
              <w:lastRenderedPageBreak/>
              <w:t>aizsardzīb</w:t>
            </w:r>
            <w:r w:rsidR="001119AC" w:rsidRPr="00046FC6">
              <w:rPr>
                <w:rFonts w:ascii="Times New Roman" w:hAnsi="Times New Roman" w:cs="Times New Roman"/>
                <w:sz w:val="24"/>
                <w:szCs w:val="24"/>
              </w:rPr>
              <w:t>ai</w:t>
            </w:r>
            <w:r w:rsidRPr="00046FC6">
              <w:rPr>
                <w:rFonts w:ascii="Times New Roman" w:hAnsi="Times New Roman" w:cs="Times New Roman"/>
                <w:iCs/>
                <w:sz w:val="24"/>
                <w:szCs w:val="24"/>
              </w:rPr>
              <w:t>.</w:t>
            </w:r>
            <w:r w:rsidRPr="00046FC6">
              <w:rPr>
                <w:rFonts w:ascii="Times New Roman" w:hAnsi="Times New Roman" w:cs="Times New Roman"/>
                <w:sz w:val="24"/>
                <w:szCs w:val="24"/>
              </w:rPr>
              <w:t xml:space="preserve"> Noteikumu projekts izstrādāts, lai aizsargātu privāt</w:t>
            </w:r>
            <w:r w:rsidR="00825A84" w:rsidRPr="00046FC6">
              <w:rPr>
                <w:rFonts w:ascii="Times New Roman" w:hAnsi="Times New Roman" w:cs="Times New Roman"/>
                <w:sz w:val="24"/>
                <w:szCs w:val="24"/>
              </w:rPr>
              <w:t>us</w:t>
            </w:r>
            <w:r w:rsidRPr="00046FC6">
              <w:rPr>
                <w:rFonts w:ascii="Times New Roman" w:hAnsi="Times New Roman" w:cs="Times New Roman"/>
                <w:sz w:val="24"/>
                <w:szCs w:val="24"/>
              </w:rPr>
              <w:t xml:space="preserve"> (neprofesionāl</w:t>
            </w:r>
            <w:r w:rsidR="000447F2" w:rsidRPr="00046FC6">
              <w:rPr>
                <w:rFonts w:ascii="Times New Roman" w:hAnsi="Times New Roman" w:cs="Times New Roman"/>
                <w:sz w:val="24"/>
                <w:szCs w:val="24"/>
              </w:rPr>
              <w:t>u</w:t>
            </w:r>
            <w:r w:rsidRPr="00046FC6">
              <w:rPr>
                <w:rFonts w:ascii="Times New Roman" w:hAnsi="Times New Roman" w:cs="Times New Roman"/>
                <w:sz w:val="24"/>
                <w:szCs w:val="24"/>
              </w:rPr>
              <w:t xml:space="preserve">s) ieguldītājus, jo </w:t>
            </w:r>
            <w:r w:rsidR="00A153C8" w:rsidRPr="00046FC6">
              <w:rPr>
                <w:rFonts w:ascii="Times New Roman" w:hAnsi="Times New Roman" w:cs="Times New Roman"/>
                <w:sz w:val="24"/>
                <w:szCs w:val="24"/>
              </w:rPr>
              <w:t>līgum</w:t>
            </w:r>
            <w:r w:rsidR="00B20CFF" w:rsidRPr="00046FC6">
              <w:rPr>
                <w:rFonts w:ascii="Times New Roman" w:hAnsi="Times New Roman" w:cs="Times New Roman"/>
                <w:sz w:val="24"/>
                <w:szCs w:val="24"/>
              </w:rPr>
              <w:t>u</w:t>
            </w:r>
            <w:r w:rsidR="00A153C8" w:rsidRPr="00046FC6">
              <w:rPr>
                <w:rFonts w:ascii="Times New Roman" w:hAnsi="Times New Roman" w:cs="Times New Roman"/>
                <w:sz w:val="24"/>
                <w:szCs w:val="24"/>
              </w:rPr>
              <w:t xml:space="preserve"> par starpību</w:t>
            </w:r>
            <w:r w:rsidRPr="00046FC6">
              <w:rPr>
                <w:rFonts w:ascii="Times New Roman" w:hAnsi="Times New Roman" w:cs="Times New Roman"/>
                <w:sz w:val="24"/>
                <w:szCs w:val="24"/>
              </w:rPr>
              <w:t xml:space="preserve"> un </w:t>
            </w:r>
            <w:r w:rsidR="00A153C8" w:rsidRPr="00046FC6">
              <w:rPr>
                <w:rFonts w:ascii="Times New Roman" w:hAnsi="Times New Roman" w:cs="Times New Roman"/>
                <w:sz w:val="24"/>
                <w:szCs w:val="24"/>
              </w:rPr>
              <w:t>bināro iespēju līgum</w:t>
            </w:r>
            <w:r w:rsidR="00B20CFF" w:rsidRPr="00046FC6">
              <w:rPr>
                <w:rFonts w:ascii="Times New Roman" w:hAnsi="Times New Roman" w:cs="Times New Roman"/>
                <w:sz w:val="24"/>
                <w:szCs w:val="24"/>
              </w:rPr>
              <w:t>u</w:t>
            </w:r>
            <w:r w:rsidRPr="00046FC6">
              <w:rPr>
                <w:rFonts w:ascii="Times New Roman" w:hAnsi="Times New Roman" w:cs="Times New Roman"/>
                <w:sz w:val="24"/>
                <w:szCs w:val="24"/>
              </w:rPr>
              <w:t xml:space="preserve"> produkti ir neatbilstoši privāta klienta vajadzībām, proti, tie nav ieguldījumu (uzkrājumu veikšanas) produkti pēc būtības</w:t>
            </w:r>
            <w:r w:rsidR="00825A84" w:rsidRPr="00046FC6">
              <w:rPr>
                <w:rFonts w:ascii="Times New Roman" w:hAnsi="Times New Roman" w:cs="Times New Roman"/>
                <w:sz w:val="24"/>
                <w:szCs w:val="24"/>
              </w:rPr>
              <w:t>, jo</w:t>
            </w:r>
            <w:r w:rsidRPr="00046FC6">
              <w:rPr>
                <w:rFonts w:ascii="Times New Roman" w:hAnsi="Times New Roman" w:cs="Times New Roman"/>
                <w:sz w:val="24"/>
                <w:szCs w:val="24"/>
              </w:rPr>
              <w:t xml:space="preserve"> tiem drīzāk piemīt azartspēles elementi: lielas sviras izmantošana vairākkārt palielina zaudējumu varbūtību</w:t>
            </w:r>
            <w:r w:rsidR="00C7276F" w:rsidRPr="00046FC6">
              <w:rPr>
                <w:rFonts w:ascii="Times New Roman" w:hAnsi="Times New Roman" w:cs="Times New Roman"/>
                <w:sz w:val="24"/>
                <w:szCs w:val="24"/>
              </w:rPr>
              <w:t xml:space="preserve"> un</w:t>
            </w:r>
            <w:r w:rsidRPr="00046FC6">
              <w:rPr>
                <w:rFonts w:ascii="Times New Roman" w:hAnsi="Times New Roman" w:cs="Times New Roman"/>
                <w:sz w:val="24"/>
                <w:szCs w:val="24"/>
              </w:rPr>
              <w:t xml:space="preserve"> zaudējumus būtiski palielina produktā iekļautie izdevumi, kas netiek pienācīgi atklāti; produktu izplatīšanas paņēmieni </w:t>
            </w:r>
            <w:r w:rsidR="00825A84" w:rsidRPr="00046FC6">
              <w:rPr>
                <w:rFonts w:ascii="Times New Roman" w:hAnsi="Times New Roman" w:cs="Times New Roman"/>
                <w:sz w:val="24"/>
                <w:szCs w:val="24"/>
              </w:rPr>
              <w:t xml:space="preserve">var </w:t>
            </w:r>
            <w:r w:rsidRPr="00046FC6">
              <w:rPr>
                <w:rFonts w:ascii="Times New Roman" w:hAnsi="Times New Roman" w:cs="Times New Roman"/>
                <w:sz w:val="24"/>
                <w:szCs w:val="24"/>
              </w:rPr>
              <w:t>maldinošā veidā pārliecin</w:t>
            </w:r>
            <w:r w:rsidR="00825A84" w:rsidRPr="00046FC6">
              <w:rPr>
                <w:rFonts w:ascii="Times New Roman" w:hAnsi="Times New Roman" w:cs="Times New Roman"/>
                <w:sz w:val="24"/>
                <w:szCs w:val="24"/>
              </w:rPr>
              <w:t>āt</w:t>
            </w:r>
            <w:r w:rsidRPr="00046FC6">
              <w:rPr>
                <w:rFonts w:ascii="Times New Roman" w:hAnsi="Times New Roman" w:cs="Times New Roman"/>
                <w:sz w:val="24"/>
                <w:szCs w:val="24"/>
              </w:rPr>
              <w:t xml:space="preserve"> privāt</w:t>
            </w:r>
            <w:r w:rsidR="00825A84" w:rsidRPr="00046FC6">
              <w:rPr>
                <w:rFonts w:ascii="Times New Roman" w:hAnsi="Times New Roman" w:cs="Times New Roman"/>
                <w:sz w:val="24"/>
                <w:szCs w:val="24"/>
              </w:rPr>
              <w:t>us klientus</w:t>
            </w:r>
            <w:r w:rsidRPr="00046FC6">
              <w:rPr>
                <w:rFonts w:ascii="Times New Roman" w:hAnsi="Times New Roman" w:cs="Times New Roman"/>
                <w:sz w:val="24"/>
                <w:szCs w:val="24"/>
              </w:rPr>
              <w:t>, ka tas ir vienkāršs un visiem pieejams veids, kā ātri nopelnīt, neinformējot par būtisku zaudējumu risku un ar šiem darījumiem saistīto zaudējumu statistiku. Saskaņā ar EVTI apkopoto informāciju 74–89</w:t>
            </w:r>
            <w:r w:rsidR="00A61159" w:rsidRPr="00046FC6">
              <w:rPr>
                <w:rFonts w:ascii="Times New Roman" w:hAnsi="Times New Roman" w:cs="Times New Roman"/>
                <w:sz w:val="24"/>
                <w:szCs w:val="24"/>
              </w:rPr>
              <w:t> </w:t>
            </w:r>
            <w:r w:rsidR="001119AC" w:rsidRPr="00046FC6">
              <w:rPr>
                <w:rFonts w:ascii="Times New Roman" w:hAnsi="Times New Roman" w:cs="Times New Roman"/>
                <w:sz w:val="24"/>
                <w:szCs w:val="24"/>
              </w:rPr>
              <w:t>%</w:t>
            </w:r>
            <w:r w:rsidRPr="00046FC6">
              <w:rPr>
                <w:rFonts w:ascii="Times New Roman" w:hAnsi="Times New Roman" w:cs="Times New Roman"/>
                <w:sz w:val="24"/>
                <w:szCs w:val="24"/>
              </w:rPr>
              <w:t xml:space="preserve"> privāt</w:t>
            </w:r>
            <w:r w:rsidR="000447F2" w:rsidRPr="00046FC6">
              <w:rPr>
                <w:rFonts w:ascii="Times New Roman" w:hAnsi="Times New Roman" w:cs="Times New Roman"/>
                <w:sz w:val="24"/>
                <w:szCs w:val="24"/>
              </w:rPr>
              <w:t>o</w:t>
            </w:r>
            <w:r w:rsidRPr="00046FC6">
              <w:rPr>
                <w:rFonts w:ascii="Times New Roman" w:hAnsi="Times New Roman" w:cs="Times New Roman"/>
                <w:sz w:val="24"/>
                <w:szCs w:val="24"/>
              </w:rPr>
              <w:t xml:space="preserve"> </w:t>
            </w:r>
            <w:r w:rsidR="00825A84" w:rsidRPr="00046FC6">
              <w:rPr>
                <w:rFonts w:ascii="Times New Roman" w:hAnsi="Times New Roman" w:cs="Times New Roman"/>
                <w:sz w:val="24"/>
                <w:szCs w:val="24"/>
              </w:rPr>
              <w:t>klient</w:t>
            </w:r>
            <w:r w:rsidR="000447F2" w:rsidRPr="00046FC6">
              <w:rPr>
                <w:rFonts w:ascii="Times New Roman" w:hAnsi="Times New Roman" w:cs="Times New Roman"/>
                <w:sz w:val="24"/>
                <w:szCs w:val="24"/>
              </w:rPr>
              <w:t>u</w:t>
            </w:r>
            <w:r w:rsidRPr="00046FC6">
              <w:rPr>
                <w:rFonts w:ascii="Times New Roman" w:hAnsi="Times New Roman" w:cs="Times New Roman"/>
                <w:sz w:val="24"/>
                <w:szCs w:val="24"/>
              </w:rPr>
              <w:t xml:space="preserve"> zaudē naudu, veicot darījumus ar </w:t>
            </w:r>
            <w:r w:rsidR="00084A4D" w:rsidRPr="00046FC6">
              <w:rPr>
                <w:rFonts w:ascii="Times New Roman" w:hAnsi="Times New Roman" w:cs="Times New Roman"/>
                <w:sz w:val="24"/>
                <w:szCs w:val="24"/>
              </w:rPr>
              <w:t>līgumiem par starpību</w:t>
            </w:r>
            <w:r w:rsidRPr="00046FC6">
              <w:rPr>
                <w:rFonts w:ascii="Times New Roman" w:hAnsi="Times New Roman" w:cs="Times New Roman"/>
                <w:sz w:val="24"/>
                <w:szCs w:val="24"/>
              </w:rPr>
              <w:t>.</w:t>
            </w:r>
            <w:r w:rsidR="0039734C" w:rsidRPr="00046FC6">
              <w:rPr>
                <w:rStyle w:val="FootnoteReference"/>
                <w:rFonts w:ascii="Times New Roman" w:hAnsi="Times New Roman" w:cs="Times New Roman"/>
                <w:bCs/>
                <w:szCs w:val="24"/>
              </w:rPr>
              <w:footnoteReference w:id="10"/>
            </w:r>
          </w:p>
          <w:p w14:paraId="79EAB54D" w14:textId="71A8287A" w:rsidR="00BA322F" w:rsidRPr="00046FC6" w:rsidRDefault="00084A4D"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Latvijas Banka</w:t>
            </w:r>
            <w:r w:rsidR="00BA322F" w:rsidRPr="00046FC6">
              <w:rPr>
                <w:rFonts w:ascii="Times New Roman" w:hAnsi="Times New Roman" w:cs="Times New Roman"/>
                <w:sz w:val="24"/>
                <w:szCs w:val="24"/>
              </w:rPr>
              <w:t xml:space="preserve"> uzskata, ka situācijā, kad Latvija varētu palikt viena no nedaudzām dalībvalstīm, kur nav ierobežoti darījumi ar </w:t>
            </w:r>
            <w:r w:rsidRPr="00046FC6">
              <w:rPr>
                <w:rFonts w:ascii="Times New Roman" w:hAnsi="Times New Roman" w:cs="Times New Roman"/>
                <w:sz w:val="24"/>
                <w:szCs w:val="24"/>
              </w:rPr>
              <w:t>līgumiem par starpību</w:t>
            </w:r>
            <w:r w:rsidR="00BA322F" w:rsidRPr="00046FC6">
              <w:rPr>
                <w:rFonts w:ascii="Times New Roman" w:hAnsi="Times New Roman" w:cs="Times New Roman"/>
                <w:sz w:val="24"/>
                <w:szCs w:val="24"/>
              </w:rPr>
              <w:t xml:space="preserve"> un </w:t>
            </w:r>
            <w:r w:rsidRPr="00046FC6">
              <w:rPr>
                <w:rFonts w:ascii="Times New Roman" w:hAnsi="Times New Roman" w:cs="Times New Roman"/>
                <w:sz w:val="24"/>
                <w:szCs w:val="24"/>
              </w:rPr>
              <w:t>bināro iespēju līgumiem</w:t>
            </w:r>
            <w:r w:rsidR="00DD1B2D" w:rsidRPr="00046FC6">
              <w:rPr>
                <w:rStyle w:val="FootnoteReference"/>
                <w:rFonts w:ascii="Times New Roman" w:hAnsi="Times New Roman" w:cs="Times New Roman"/>
                <w:sz w:val="24"/>
                <w:szCs w:val="24"/>
              </w:rPr>
              <w:footnoteReference w:id="11"/>
            </w:r>
            <w:r w:rsidR="00BA322F" w:rsidRPr="00046FC6">
              <w:rPr>
                <w:rFonts w:ascii="Times New Roman" w:hAnsi="Times New Roman" w:cs="Times New Roman"/>
                <w:sz w:val="24"/>
                <w:szCs w:val="24"/>
              </w:rPr>
              <w:t xml:space="preserve">, privāto klientu aizsardzība būs ievērojami apdraudēta, ņemot vērā </w:t>
            </w:r>
            <w:r w:rsidRPr="00046FC6">
              <w:rPr>
                <w:rFonts w:ascii="Times New Roman" w:hAnsi="Times New Roman" w:cs="Times New Roman"/>
                <w:sz w:val="24"/>
                <w:szCs w:val="24"/>
              </w:rPr>
              <w:t>līgum</w:t>
            </w:r>
            <w:r w:rsidR="00A4059A" w:rsidRPr="00046FC6">
              <w:rPr>
                <w:rFonts w:ascii="Times New Roman" w:hAnsi="Times New Roman" w:cs="Times New Roman"/>
                <w:sz w:val="24"/>
                <w:szCs w:val="24"/>
              </w:rPr>
              <w:t>u</w:t>
            </w:r>
            <w:r w:rsidRPr="00046FC6">
              <w:rPr>
                <w:rFonts w:ascii="Times New Roman" w:hAnsi="Times New Roman" w:cs="Times New Roman"/>
                <w:sz w:val="24"/>
                <w:szCs w:val="24"/>
              </w:rPr>
              <w:t xml:space="preserve"> par starpību</w:t>
            </w:r>
            <w:r w:rsidR="00BA322F" w:rsidRPr="00046FC6">
              <w:rPr>
                <w:rFonts w:ascii="Times New Roman" w:hAnsi="Times New Roman" w:cs="Times New Roman"/>
                <w:sz w:val="24"/>
                <w:szCs w:val="24"/>
              </w:rPr>
              <w:t xml:space="preserve"> un </w:t>
            </w:r>
            <w:r w:rsidRPr="00046FC6">
              <w:rPr>
                <w:rFonts w:ascii="Times New Roman" w:hAnsi="Times New Roman" w:cs="Times New Roman"/>
                <w:sz w:val="24"/>
                <w:szCs w:val="24"/>
              </w:rPr>
              <w:t>bināro iespēju līgumu</w:t>
            </w:r>
            <w:r w:rsidR="00BA322F" w:rsidRPr="00046FC6">
              <w:rPr>
                <w:rFonts w:ascii="Times New Roman" w:hAnsi="Times New Roman" w:cs="Times New Roman"/>
                <w:sz w:val="24"/>
                <w:szCs w:val="24"/>
              </w:rPr>
              <w:t xml:space="preserve"> produktu īpatnības, to izveidošanas un izplatīšanas praksi. Īpaši apdraudēta ir privāto klientu aizsardzība saistībā ar faktu, ka </w:t>
            </w:r>
            <w:r w:rsidRPr="00046FC6">
              <w:rPr>
                <w:rFonts w:ascii="Times New Roman" w:hAnsi="Times New Roman" w:cs="Times New Roman"/>
                <w:sz w:val="24"/>
                <w:szCs w:val="24"/>
              </w:rPr>
              <w:t>līgum</w:t>
            </w:r>
            <w:r w:rsidR="00A4059A" w:rsidRPr="00046FC6">
              <w:rPr>
                <w:rFonts w:ascii="Times New Roman" w:hAnsi="Times New Roman" w:cs="Times New Roman"/>
                <w:sz w:val="24"/>
                <w:szCs w:val="24"/>
              </w:rPr>
              <w:t>u</w:t>
            </w:r>
            <w:r w:rsidRPr="00046FC6">
              <w:rPr>
                <w:rFonts w:ascii="Times New Roman" w:hAnsi="Times New Roman" w:cs="Times New Roman"/>
                <w:sz w:val="24"/>
                <w:szCs w:val="24"/>
              </w:rPr>
              <w:t xml:space="preserve"> par starpību un bināro iespēju līgumu </w:t>
            </w:r>
            <w:r w:rsidR="00BA322F" w:rsidRPr="00046FC6">
              <w:rPr>
                <w:rFonts w:ascii="Times New Roman" w:hAnsi="Times New Roman" w:cs="Times New Roman"/>
                <w:sz w:val="24"/>
                <w:szCs w:val="24"/>
              </w:rPr>
              <w:t>produkti tiek izplatīti pārrobežu darījumos, izmantojot interneta pieslēgumu, un tajos tiek ļauts ieguldīt mazu summu, kas padara pakalpojumu viegli pieejamu</w:t>
            </w:r>
            <w:r w:rsidR="005908D9" w:rsidRPr="00046FC6">
              <w:rPr>
                <w:rFonts w:ascii="Times New Roman" w:hAnsi="Times New Roman" w:cs="Times New Roman"/>
                <w:sz w:val="24"/>
                <w:szCs w:val="24"/>
              </w:rPr>
              <w:t xml:space="preserve"> un</w:t>
            </w:r>
            <w:r w:rsidR="00BA322F" w:rsidRPr="00046FC6">
              <w:rPr>
                <w:rFonts w:ascii="Times New Roman" w:hAnsi="Times New Roman" w:cs="Times New Roman"/>
                <w:sz w:val="24"/>
                <w:szCs w:val="24"/>
              </w:rPr>
              <w:t xml:space="preserve"> plaši un ātri izplatāmu.</w:t>
            </w:r>
          </w:p>
          <w:p w14:paraId="4A923321" w14:textId="5E426994" w:rsidR="00BA322F" w:rsidRPr="00046FC6" w:rsidRDefault="00BA322F"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Izstrādājot noteikumu projektu, ti</w:t>
            </w:r>
            <w:r w:rsidR="00825A84" w:rsidRPr="00046FC6">
              <w:rPr>
                <w:rFonts w:ascii="Times New Roman" w:hAnsi="Times New Roman" w:cs="Times New Roman"/>
                <w:sz w:val="24"/>
                <w:szCs w:val="24"/>
              </w:rPr>
              <w:t>ka</w:t>
            </w:r>
            <w:r w:rsidRPr="00046FC6">
              <w:rPr>
                <w:rFonts w:ascii="Times New Roman" w:hAnsi="Times New Roman" w:cs="Times New Roman"/>
                <w:sz w:val="24"/>
                <w:szCs w:val="24"/>
              </w:rPr>
              <w:t xml:space="preserve"> ņemti vērā </w:t>
            </w:r>
            <w:r w:rsidR="00825A84" w:rsidRPr="00046FC6">
              <w:rPr>
                <w:rFonts w:ascii="Times New Roman" w:hAnsi="Times New Roman" w:cs="Times New Roman"/>
                <w:sz w:val="24"/>
                <w:szCs w:val="24"/>
              </w:rPr>
              <w:t xml:space="preserve">arī </w:t>
            </w:r>
            <w:r w:rsidRPr="00046FC6">
              <w:rPr>
                <w:rFonts w:ascii="Times New Roman" w:hAnsi="Times New Roman" w:cs="Times New Roman"/>
                <w:sz w:val="24"/>
                <w:szCs w:val="24"/>
              </w:rPr>
              <w:t xml:space="preserve">EVTI </w:t>
            </w:r>
            <w:r w:rsidR="00A4059A" w:rsidRPr="00046FC6">
              <w:rPr>
                <w:rFonts w:ascii="Times New Roman" w:hAnsi="Times New Roman" w:cs="Times New Roman"/>
                <w:sz w:val="24"/>
                <w:szCs w:val="24"/>
              </w:rPr>
              <w:t xml:space="preserve">lēmumos minētie </w:t>
            </w:r>
            <w:r w:rsidRPr="00046FC6">
              <w:rPr>
                <w:rFonts w:ascii="Times New Roman" w:hAnsi="Times New Roman" w:cs="Times New Roman"/>
                <w:sz w:val="24"/>
                <w:szCs w:val="24"/>
              </w:rPr>
              <w:t xml:space="preserve">argumenti, kas pamato, ka esošās Eiropas Savienības regulatīvās prasības un uzraudzības pasākumi nav pietiekami, lai efektīvi novērstu privāto klientu, kas iesaistās </w:t>
            </w:r>
            <w:r w:rsidR="00084A4D" w:rsidRPr="00046FC6">
              <w:rPr>
                <w:rFonts w:ascii="Times New Roman" w:hAnsi="Times New Roman" w:cs="Times New Roman"/>
                <w:sz w:val="24"/>
                <w:szCs w:val="24"/>
              </w:rPr>
              <w:t>līgum</w:t>
            </w:r>
            <w:r w:rsidR="005200B4" w:rsidRPr="00046FC6">
              <w:rPr>
                <w:rFonts w:ascii="Times New Roman" w:hAnsi="Times New Roman" w:cs="Times New Roman"/>
                <w:sz w:val="24"/>
                <w:szCs w:val="24"/>
              </w:rPr>
              <w:t>u</w:t>
            </w:r>
            <w:r w:rsidR="00084A4D" w:rsidRPr="00046FC6">
              <w:rPr>
                <w:rFonts w:ascii="Times New Roman" w:hAnsi="Times New Roman" w:cs="Times New Roman"/>
                <w:sz w:val="24"/>
                <w:szCs w:val="24"/>
              </w:rPr>
              <w:t xml:space="preserve"> par starpību un bināro iespēju līgumu </w:t>
            </w:r>
            <w:r w:rsidRPr="00046FC6">
              <w:rPr>
                <w:rFonts w:ascii="Times New Roman" w:hAnsi="Times New Roman" w:cs="Times New Roman"/>
                <w:sz w:val="24"/>
                <w:szCs w:val="24"/>
              </w:rPr>
              <w:t>darījumos, aizsardzības trūkumus.</w:t>
            </w:r>
          </w:p>
          <w:p w14:paraId="49EA5932" w14:textId="34D935D2" w:rsidR="00E53DE9" w:rsidRPr="00046FC6" w:rsidRDefault="00BA322F" w:rsidP="000447F2">
            <w:pPr>
              <w:spacing w:after="120" w:line="240" w:lineRule="auto"/>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 xml:space="preserve">Ņemot vērā minēto, </w:t>
            </w:r>
            <w:r w:rsidR="002074BE" w:rsidRPr="00046FC6">
              <w:rPr>
                <w:rFonts w:ascii="Times New Roman" w:hAnsi="Times New Roman" w:cs="Times New Roman"/>
                <w:sz w:val="24"/>
                <w:szCs w:val="24"/>
              </w:rPr>
              <w:t>Latvijas Banka</w:t>
            </w:r>
            <w:r w:rsidRPr="00046FC6">
              <w:rPr>
                <w:rFonts w:ascii="Times New Roman" w:hAnsi="Times New Roman" w:cs="Times New Roman"/>
                <w:sz w:val="24"/>
                <w:szCs w:val="24"/>
              </w:rPr>
              <w:t xml:space="preserve"> uzskata, ka </w:t>
            </w:r>
            <w:r w:rsidR="002074BE" w:rsidRPr="00046FC6">
              <w:rPr>
                <w:rFonts w:ascii="Times New Roman" w:hAnsi="Times New Roman" w:cs="Times New Roman"/>
                <w:sz w:val="24"/>
                <w:szCs w:val="24"/>
              </w:rPr>
              <w:t>līgumu par starpību</w:t>
            </w:r>
            <w:r w:rsidRPr="00046FC6">
              <w:rPr>
                <w:rFonts w:ascii="Times New Roman" w:hAnsi="Times New Roman" w:cs="Times New Roman"/>
                <w:sz w:val="24"/>
                <w:szCs w:val="24"/>
              </w:rPr>
              <w:t xml:space="preserve"> un </w:t>
            </w:r>
            <w:r w:rsidR="002074BE" w:rsidRPr="00046FC6">
              <w:rPr>
                <w:rFonts w:ascii="Times New Roman" w:hAnsi="Times New Roman" w:cs="Times New Roman"/>
                <w:sz w:val="24"/>
                <w:szCs w:val="24"/>
              </w:rPr>
              <w:t>bināro iespēju līgum</w:t>
            </w:r>
            <w:r w:rsidR="005200B4" w:rsidRPr="00046FC6">
              <w:rPr>
                <w:rFonts w:ascii="Times New Roman" w:hAnsi="Times New Roman" w:cs="Times New Roman"/>
                <w:sz w:val="24"/>
                <w:szCs w:val="24"/>
              </w:rPr>
              <w:t>u</w:t>
            </w:r>
            <w:r w:rsidRPr="00046FC6">
              <w:rPr>
                <w:rFonts w:ascii="Times New Roman" w:hAnsi="Times New Roman" w:cs="Times New Roman"/>
                <w:sz w:val="24"/>
                <w:szCs w:val="24"/>
              </w:rPr>
              <w:t xml:space="preserve"> ierobežojumiem ir leģitīms mērķis</w:t>
            </w:r>
            <w:r w:rsidR="00A4059A" w:rsidRPr="00046FC6">
              <w:rPr>
                <w:rFonts w:ascii="Times New Roman" w:hAnsi="Times New Roman" w:cs="Times New Roman"/>
                <w:sz w:val="24"/>
                <w:szCs w:val="24"/>
              </w:rPr>
              <w:t xml:space="preserve"> (citu personu tiesību aizsardzība)</w:t>
            </w:r>
            <w:r w:rsidRPr="00046FC6">
              <w:rPr>
                <w:rFonts w:ascii="Times New Roman" w:hAnsi="Times New Roman" w:cs="Times New Roman"/>
                <w:sz w:val="24"/>
                <w:szCs w:val="24"/>
              </w:rPr>
              <w:t>, lai ieguldījumu pakalpojumu sniegšanas nosacījumi un klientu aizsardzība Latvijā būtu līdzīga kā citās dalībvalstīs un neveidotos regulējuma arbitrāža.</w:t>
            </w:r>
          </w:p>
        </w:tc>
      </w:tr>
      <w:tr w:rsidR="000B4E0A" w:rsidRPr="00046FC6" w14:paraId="2ADDF3C3" w14:textId="77777777" w:rsidTr="0045673B">
        <w:trPr>
          <w:trHeight w:val="567"/>
        </w:trPr>
        <w:tc>
          <w:tcPr>
            <w:tcW w:w="1483" w:type="pct"/>
            <w:shd w:val="clear" w:color="auto" w:fill="auto"/>
            <w:hideMark/>
          </w:tcPr>
          <w:p w14:paraId="50F52EC5" w14:textId="534C4103" w:rsidR="00CA28AB" w:rsidRPr="00046FC6" w:rsidRDefault="00A42788" w:rsidP="008A60D8">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lastRenderedPageBreak/>
              <w:t>Samērīgums</w:t>
            </w:r>
          </w:p>
        </w:tc>
        <w:tc>
          <w:tcPr>
            <w:tcW w:w="3517" w:type="pct"/>
            <w:shd w:val="clear" w:color="auto" w:fill="auto"/>
          </w:tcPr>
          <w:p w14:paraId="4C7ECF03" w14:textId="0BF29814" w:rsidR="00BA322F" w:rsidRPr="00046FC6" w:rsidRDefault="00BA322F"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Noteikum</w:t>
            </w:r>
            <w:r w:rsidR="005E770F" w:rsidRPr="00046FC6">
              <w:rPr>
                <w:rFonts w:ascii="Times New Roman" w:hAnsi="Times New Roman" w:cs="Times New Roman"/>
                <w:sz w:val="24"/>
                <w:szCs w:val="24"/>
              </w:rPr>
              <w:t>u projektā</w:t>
            </w:r>
            <w:r w:rsidRPr="00046FC6">
              <w:rPr>
                <w:rFonts w:ascii="Times New Roman" w:hAnsi="Times New Roman" w:cs="Times New Roman"/>
                <w:sz w:val="24"/>
                <w:szCs w:val="24"/>
              </w:rPr>
              <w:t xml:space="preserve"> paredzētie ierobežojumi attiecībā uz </w:t>
            </w:r>
            <w:r w:rsidR="00355285" w:rsidRPr="00046FC6">
              <w:rPr>
                <w:rFonts w:ascii="Times New Roman" w:hAnsi="Times New Roman" w:cs="Times New Roman"/>
                <w:iCs/>
                <w:sz w:val="24"/>
                <w:szCs w:val="24"/>
              </w:rPr>
              <w:t>līgumiem par starpību un bināro iespēju līgum</w:t>
            </w:r>
            <w:r w:rsidR="005200B4" w:rsidRPr="00046FC6">
              <w:rPr>
                <w:rFonts w:ascii="Times New Roman" w:hAnsi="Times New Roman" w:cs="Times New Roman"/>
                <w:iCs/>
                <w:sz w:val="24"/>
                <w:szCs w:val="24"/>
              </w:rPr>
              <w:t>iem</w:t>
            </w:r>
            <w:r w:rsidRPr="00046FC6">
              <w:rPr>
                <w:rFonts w:ascii="Times New Roman" w:hAnsi="Times New Roman" w:cs="Times New Roman"/>
                <w:sz w:val="24"/>
                <w:szCs w:val="24"/>
              </w:rPr>
              <w:t xml:space="preserve"> ir līdzīgi EVTI </w:t>
            </w:r>
            <w:r w:rsidR="00A97F5C" w:rsidRPr="00046FC6">
              <w:rPr>
                <w:rFonts w:ascii="Times New Roman" w:hAnsi="Times New Roman" w:cs="Times New Roman"/>
                <w:sz w:val="24"/>
                <w:szCs w:val="24"/>
              </w:rPr>
              <w:t xml:space="preserve">lēmumos noteiktajiem </w:t>
            </w:r>
            <w:r w:rsidRPr="00046FC6">
              <w:rPr>
                <w:rFonts w:ascii="Times New Roman" w:hAnsi="Times New Roman" w:cs="Times New Roman"/>
                <w:sz w:val="24"/>
                <w:szCs w:val="24"/>
              </w:rPr>
              <w:t xml:space="preserve">ierobežojumiem un citu dalībvalstu pieņemtajiem ierobežojumiem. Līdz ar to, sniedzot pārrobežu pakalpojumus, tirgus dalībniekiem būs līdzvērtīgi pakalpojumu sniegšanas noteikumi gan Latvijā, gan </w:t>
            </w:r>
            <w:r w:rsidR="00A97F5C" w:rsidRPr="00046FC6">
              <w:rPr>
                <w:rFonts w:ascii="Times New Roman" w:hAnsi="Times New Roman" w:cs="Times New Roman"/>
                <w:sz w:val="24"/>
                <w:szCs w:val="24"/>
              </w:rPr>
              <w:t>citās dalībvalstīs</w:t>
            </w:r>
            <w:r w:rsidRPr="00046FC6">
              <w:rPr>
                <w:rFonts w:ascii="Times New Roman" w:hAnsi="Times New Roman" w:cs="Times New Roman"/>
                <w:sz w:val="24"/>
                <w:szCs w:val="24"/>
              </w:rPr>
              <w:t xml:space="preserve">, neveidosies regulējuma arbitrāža un nepastāvēs nekāda </w:t>
            </w:r>
            <w:r w:rsidRPr="00046FC6">
              <w:rPr>
                <w:rFonts w:ascii="Times New Roman" w:hAnsi="Times New Roman" w:cs="Times New Roman"/>
                <w:sz w:val="24"/>
                <w:szCs w:val="24"/>
              </w:rPr>
              <w:lastRenderedPageBreak/>
              <w:t>diskriminācija, salīdzinot Latvijas pakalpojumu sniedzējus ar pakalpojumu sniedzējiem citās dalībvalstīs.</w:t>
            </w:r>
          </w:p>
          <w:p w14:paraId="06BC4A21" w14:textId="055BF806" w:rsidR="00BA322F" w:rsidRPr="00046FC6" w:rsidRDefault="00A83584"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Regulas Nr. 600/2014</w:t>
            </w:r>
            <w:r w:rsidR="00BA322F" w:rsidRPr="00046FC6">
              <w:rPr>
                <w:rFonts w:ascii="Times New Roman" w:hAnsi="Times New Roman" w:cs="Times New Roman"/>
                <w:sz w:val="24"/>
                <w:szCs w:val="24"/>
              </w:rPr>
              <w:t xml:space="preserve"> 42.</w:t>
            </w:r>
            <w:r w:rsidR="00F8190C" w:rsidRPr="00046FC6">
              <w:rPr>
                <w:rFonts w:ascii="Times New Roman" w:hAnsi="Times New Roman" w:cs="Times New Roman"/>
                <w:sz w:val="24"/>
                <w:szCs w:val="24"/>
              </w:rPr>
              <w:t> </w:t>
            </w:r>
            <w:r w:rsidR="00BA322F" w:rsidRPr="00046FC6">
              <w:rPr>
                <w:rFonts w:ascii="Times New Roman" w:hAnsi="Times New Roman" w:cs="Times New Roman"/>
                <w:sz w:val="24"/>
                <w:szCs w:val="24"/>
              </w:rPr>
              <w:t>panta 6.</w:t>
            </w:r>
            <w:r w:rsidR="00F8190C" w:rsidRPr="00046FC6">
              <w:rPr>
                <w:rFonts w:ascii="Times New Roman" w:hAnsi="Times New Roman" w:cs="Times New Roman"/>
                <w:sz w:val="24"/>
                <w:szCs w:val="24"/>
              </w:rPr>
              <w:t> </w:t>
            </w:r>
            <w:r w:rsidR="00BA322F" w:rsidRPr="00046FC6">
              <w:rPr>
                <w:rFonts w:ascii="Times New Roman" w:hAnsi="Times New Roman" w:cs="Times New Roman"/>
                <w:sz w:val="24"/>
                <w:szCs w:val="24"/>
              </w:rPr>
              <w:t xml:space="preserve">punkts nosaka </w:t>
            </w:r>
            <w:r w:rsidR="00A97F5C" w:rsidRPr="00046FC6">
              <w:rPr>
                <w:rFonts w:ascii="Times New Roman" w:hAnsi="Times New Roman" w:cs="Times New Roman"/>
                <w:sz w:val="24"/>
                <w:szCs w:val="24"/>
              </w:rPr>
              <w:t>dalībvalsts</w:t>
            </w:r>
            <w:r w:rsidR="00BA322F" w:rsidRPr="00046FC6">
              <w:rPr>
                <w:rFonts w:ascii="Times New Roman" w:hAnsi="Times New Roman" w:cs="Times New Roman"/>
                <w:sz w:val="24"/>
                <w:szCs w:val="24"/>
              </w:rPr>
              <w:t xml:space="preserve"> pienākumu atcelt savu lēmumu par produktu ierobežojumiem, ja apstākļi, kas bija pa</w:t>
            </w:r>
            <w:r w:rsidR="000447F2" w:rsidRPr="00046FC6">
              <w:rPr>
                <w:rFonts w:ascii="Times New Roman" w:hAnsi="Times New Roman" w:cs="Times New Roman"/>
                <w:sz w:val="24"/>
                <w:szCs w:val="24"/>
              </w:rPr>
              <w:t>r</w:t>
            </w:r>
            <w:r w:rsidR="00BA322F" w:rsidRPr="00046FC6">
              <w:rPr>
                <w:rFonts w:ascii="Times New Roman" w:hAnsi="Times New Roman" w:cs="Times New Roman"/>
                <w:sz w:val="24"/>
                <w:szCs w:val="24"/>
              </w:rPr>
              <w:t xml:space="preserve"> pamatu lēmuma pieņemšanai, vairs nepastāv. Ja apstākļiem, kas pamato </w:t>
            </w:r>
            <w:r w:rsidR="00355285" w:rsidRPr="00046FC6">
              <w:rPr>
                <w:rFonts w:ascii="Times New Roman" w:hAnsi="Times New Roman" w:cs="Times New Roman"/>
                <w:sz w:val="24"/>
                <w:szCs w:val="24"/>
              </w:rPr>
              <w:t xml:space="preserve">līgumu par starpību un bināro iespēju līgumu </w:t>
            </w:r>
            <w:r w:rsidR="00BA322F" w:rsidRPr="00046FC6">
              <w:rPr>
                <w:rFonts w:ascii="Times New Roman" w:hAnsi="Times New Roman" w:cs="Times New Roman"/>
                <w:sz w:val="24"/>
                <w:szCs w:val="24"/>
              </w:rPr>
              <w:t xml:space="preserve">ierobežojumu nepieciešamību, būtu īslaicīgs raksturs, piemērota ierobežojumu juridiskā forma varētu būt </w:t>
            </w:r>
            <w:r w:rsidR="00355285" w:rsidRPr="00046FC6">
              <w:rPr>
                <w:rFonts w:ascii="Times New Roman" w:hAnsi="Times New Roman" w:cs="Times New Roman"/>
                <w:sz w:val="24"/>
                <w:szCs w:val="24"/>
              </w:rPr>
              <w:t>Latvijas Bankas</w:t>
            </w:r>
            <w:r w:rsidR="00BA322F" w:rsidRPr="00046FC6">
              <w:rPr>
                <w:rFonts w:ascii="Times New Roman" w:hAnsi="Times New Roman" w:cs="Times New Roman"/>
                <w:sz w:val="24"/>
                <w:szCs w:val="24"/>
              </w:rPr>
              <w:t xml:space="preserve"> lēmums</w:t>
            </w:r>
            <w:r w:rsidR="008A10FC" w:rsidRPr="00046FC6">
              <w:rPr>
                <w:rFonts w:ascii="Times New Roman" w:hAnsi="Times New Roman" w:cs="Times New Roman"/>
                <w:sz w:val="24"/>
                <w:szCs w:val="24"/>
              </w:rPr>
              <w:t xml:space="preserve"> (vispārīgais administratīvais akts)</w:t>
            </w:r>
            <w:r w:rsidR="00BA322F" w:rsidRPr="00046FC6">
              <w:rPr>
                <w:rFonts w:ascii="Times New Roman" w:hAnsi="Times New Roman" w:cs="Times New Roman"/>
                <w:sz w:val="24"/>
                <w:szCs w:val="24"/>
              </w:rPr>
              <w:t xml:space="preserve">, kas visiem tirgus dalībniekiem </w:t>
            </w:r>
            <w:r w:rsidR="008A10FC" w:rsidRPr="00046FC6">
              <w:rPr>
                <w:rFonts w:ascii="Times New Roman" w:hAnsi="Times New Roman" w:cs="Times New Roman"/>
                <w:sz w:val="24"/>
                <w:szCs w:val="24"/>
              </w:rPr>
              <w:t xml:space="preserve">būtu </w:t>
            </w:r>
            <w:r w:rsidR="00BA322F" w:rsidRPr="00046FC6">
              <w:rPr>
                <w:rFonts w:ascii="Times New Roman" w:hAnsi="Times New Roman" w:cs="Times New Roman"/>
                <w:sz w:val="24"/>
                <w:szCs w:val="24"/>
              </w:rPr>
              <w:t xml:space="preserve">saistošs un </w:t>
            </w:r>
            <w:r w:rsidR="008A10FC" w:rsidRPr="00046FC6">
              <w:rPr>
                <w:rFonts w:ascii="Times New Roman" w:hAnsi="Times New Roman" w:cs="Times New Roman"/>
                <w:sz w:val="24"/>
                <w:szCs w:val="24"/>
              </w:rPr>
              <w:t xml:space="preserve">būtu </w:t>
            </w:r>
            <w:r w:rsidR="00BA322F" w:rsidRPr="00046FC6">
              <w:rPr>
                <w:rFonts w:ascii="Times New Roman" w:hAnsi="Times New Roman" w:cs="Times New Roman"/>
                <w:sz w:val="24"/>
                <w:szCs w:val="24"/>
              </w:rPr>
              <w:t>regulāri pārskatāms. Tomēr, ņemot vērā, ka ierobežojumu pamatojošiem apstākļiem ir patstāvīgs raksturs (</w:t>
            </w:r>
            <w:r w:rsidR="00355285" w:rsidRPr="00046FC6">
              <w:rPr>
                <w:rFonts w:ascii="Times New Roman" w:hAnsi="Times New Roman" w:cs="Times New Roman"/>
                <w:sz w:val="24"/>
                <w:szCs w:val="24"/>
              </w:rPr>
              <w:t>līgum</w:t>
            </w:r>
            <w:r w:rsidR="00EA59A3" w:rsidRPr="00046FC6">
              <w:rPr>
                <w:rFonts w:ascii="Times New Roman" w:hAnsi="Times New Roman" w:cs="Times New Roman"/>
                <w:sz w:val="24"/>
                <w:szCs w:val="24"/>
              </w:rPr>
              <w:t>i</w:t>
            </w:r>
            <w:r w:rsidR="00355285" w:rsidRPr="00046FC6">
              <w:rPr>
                <w:rFonts w:ascii="Times New Roman" w:hAnsi="Times New Roman" w:cs="Times New Roman"/>
                <w:sz w:val="24"/>
                <w:szCs w:val="24"/>
              </w:rPr>
              <w:t xml:space="preserve"> par starpību un bināro iespēju līgum</w:t>
            </w:r>
            <w:r w:rsidR="00EA59A3" w:rsidRPr="00046FC6">
              <w:rPr>
                <w:rFonts w:ascii="Times New Roman" w:hAnsi="Times New Roman" w:cs="Times New Roman"/>
                <w:sz w:val="24"/>
                <w:szCs w:val="24"/>
              </w:rPr>
              <w:t>i</w:t>
            </w:r>
            <w:r w:rsidR="00355285" w:rsidRPr="00046FC6">
              <w:rPr>
                <w:rFonts w:ascii="Times New Roman" w:hAnsi="Times New Roman" w:cs="Times New Roman"/>
                <w:sz w:val="24"/>
                <w:szCs w:val="24"/>
              </w:rPr>
              <w:t xml:space="preserve"> </w:t>
            </w:r>
            <w:r w:rsidR="00BA322F" w:rsidRPr="00046FC6">
              <w:rPr>
                <w:rFonts w:ascii="Times New Roman" w:hAnsi="Times New Roman" w:cs="Times New Roman"/>
                <w:sz w:val="24"/>
                <w:szCs w:val="24"/>
              </w:rPr>
              <w:t>pēc īpašībām neatbilst privāt</w:t>
            </w:r>
            <w:r w:rsidR="000447F2" w:rsidRPr="00046FC6">
              <w:rPr>
                <w:rFonts w:ascii="Times New Roman" w:hAnsi="Times New Roman" w:cs="Times New Roman"/>
                <w:sz w:val="24"/>
                <w:szCs w:val="24"/>
              </w:rPr>
              <w:t>o</w:t>
            </w:r>
            <w:r w:rsidR="00684E8E" w:rsidRPr="00046FC6">
              <w:rPr>
                <w:rFonts w:ascii="Times New Roman" w:hAnsi="Times New Roman" w:cs="Times New Roman"/>
                <w:sz w:val="24"/>
                <w:szCs w:val="24"/>
              </w:rPr>
              <w:t xml:space="preserve"> klientu</w:t>
            </w:r>
            <w:r w:rsidR="00BA322F" w:rsidRPr="00046FC6">
              <w:rPr>
                <w:rFonts w:ascii="Times New Roman" w:hAnsi="Times New Roman" w:cs="Times New Roman"/>
                <w:sz w:val="24"/>
                <w:szCs w:val="24"/>
              </w:rPr>
              <w:t xml:space="preserve"> interesēm), konkrētajā situācijā ir lietderīgāk </w:t>
            </w:r>
            <w:r w:rsidR="000447F2" w:rsidRPr="00046FC6">
              <w:rPr>
                <w:rFonts w:ascii="Times New Roman" w:hAnsi="Times New Roman" w:cs="Times New Roman"/>
                <w:sz w:val="24"/>
                <w:szCs w:val="24"/>
              </w:rPr>
              <w:t xml:space="preserve">izdot </w:t>
            </w:r>
            <w:r w:rsidR="00355285" w:rsidRPr="00046FC6">
              <w:rPr>
                <w:rFonts w:ascii="Times New Roman" w:hAnsi="Times New Roman" w:cs="Times New Roman"/>
                <w:sz w:val="24"/>
                <w:szCs w:val="24"/>
              </w:rPr>
              <w:t>Latvijas Bankas</w:t>
            </w:r>
            <w:r w:rsidR="00BA322F" w:rsidRPr="00046FC6">
              <w:rPr>
                <w:rFonts w:ascii="Times New Roman" w:hAnsi="Times New Roman" w:cs="Times New Roman"/>
                <w:sz w:val="24"/>
                <w:szCs w:val="24"/>
              </w:rPr>
              <w:t xml:space="preserve"> noteikumus</w:t>
            </w:r>
            <w:r w:rsidR="008A10FC" w:rsidRPr="00046FC6">
              <w:rPr>
                <w:rFonts w:ascii="Times New Roman" w:hAnsi="Times New Roman" w:cs="Times New Roman"/>
                <w:sz w:val="24"/>
                <w:szCs w:val="24"/>
              </w:rPr>
              <w:t>, nosakot ierobežojumus uz nenoteiktu laiku</w:t>
            </w:r>
            <w:r w:rsidR="00BA322F" w:rsidRPr="00046FC6">
              <w:rPr>
                <w:rFonts w:ascii="Times New Roman" w:hAnsi="Times New Roman" w:cs="Times New Roman"/>
                <w:sz w:val="24"/>
                <w:szCs w:val="24"/>
              </w:rPr>
              <w:t xml:space="preserve">. Noteikumi var tikt atcelti vai pārskatīti gadījumā, ja tirgū tiks izveidoti jauni </w:t>
            </w:r>
            <w:r w:rsidR="00355285" w:rsidRPr="00046FC6">
              <w:rPr>
                <w:rFonts w:ascii="Times New Roman" w:hAnsi="Times New Roman" w:cs="Times New Roman"/>
                <w:sz w:val="24"/>
                <w:szCs w:val="24"/>
              </w:rPr>
              <w:t>līgumi par starpību un bināro iespēju līgum</w:t>
            </w:r>
            <w:r w:rsidR="00EA59A3" w:rsidRPr="00046FC6">
              <w:rPr>
                <w:rFonts w:ascii="Times New Roman" w:hAnsi="Times New Roman" w:cs="Times New Roman"/>
                <w:sz w:val="24"/>
                <w:szCs w:val="24"/>
              </w:rPr>
              <w:t>u</w:t>
            </w:r>
            <w:r w:rsidR="00355285" w:rsidRPr="00046FC6">
              <w:rPr>
                <w:rFonts w:ascii="Times New Roman" w:hAnsi="Times New Roman" w:cs="Times New Roman"/>
                <w:sz w:val="24"/>
                <w:szCs w:val="24"/>
              </w:rPr>
              <w:t xml:space="preserve"> </w:t>
            </w:r>
            <w:r w:rsidR="00BA322F" w:rsidRPr="00046FC6">
              <w:rPr>
                <w:rFonts w:ascii="Times New Roman" w:hAnsi="Times New Roman" w:cs="Times New Roman"/>
                <w:sz w:val="24"/>
                <w:szCs w:val="24"/>
              </w:rPr>
              <w:t>produkti ar citām īpašībām, kas būs atbilstošas privāt</w:t>
            </w:r>
            <w:r w:rsidR="000447F2" w:rsidRPr="00046FC6">
              <w:rPr>
                <w:rFonts w:ascii="Times New Roman" w:hAnsi="Times New Roman" w:cs="Times New Roman"/>
                <w:sz w:val="24"/>
                <w:szCs w:val="24"/>
              </w:rPr>
              <w:t>o</w:t>
            </w:r>
            <w:r w:rsidR="00684E8E" w:rsidRPr="00046FC6">
              <w:rPr>
                <w:rFonts w:ascii="Times New Roman" w:hAnsi="Times New Roman" w:cs="Times New Roman"/>
                <w:sz w:val="24"/>
                <w:szCs w:val="24"/>
              </w:rPr>
              <w:t xml:space="preserve"> klientu</w:t>
            </w:r>
            <w:r w:rsidR="00BA322F" w:rsidRPr="00046FC6">
              <w:rPr>
                <w:rFonts w:ascii="Times New Roman" w:hAnsi="Times New Roman" w:cs="Times New Roman"/>
                <w:sz w:val="24"/>
                <w:szCs w:val="24"/>
              </w:rPr>
              <w:t xml:space="preserve"> interesēm.</w:t>
            </w:r>
          </w:p>
          <w:p w14:paraId="0DE4DFAB" w14:textId="77777777" w:rsidR="008A10FC" w:rsidRPr="00046FC6" w:rsidRDefault="00BA322F"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 xml:space="preserve">Ņemot vērā minēto, </w:t>
            </w:r>
            <w:r w:rsidR="00355285" w:rsidRPr="00046FC6">
              <w:rPr>
                <w:rFonts w:ascii="Times New Roman" w:hAnsi="Times New Roman" w:cs="Times New Roman"/>
                <w:sz w:val="24"/>
                <w:szCs w:val="24"/>
              </w:rPr>
              <w:t>Latvijas Banka</w:t>
            </w:r>
            <w:r w:rsidRPr="00046FC6">
              <w:rPr>
                <w:rFonts w:ascii="Times New Roman" w:hAnsi="Times New Roman" w:cs="Times New Roman"/>
                <w:sz w:val="24"/>
                <w:szCs w:val="24"/>
              </w:rPr>
              <w:t xml:space="preserve"> secina, ka ierobežojumi ir samērīgi, jo</w:t>
            </w:r>
            <w:r w:rsidR="008A10FC" w:rsidRPr="00046FC6">
              <w:rPr>
                <w:rFonts w:ascii="Times New Roman" w:hAnsi="Times New Roman" w:cs="Times New Roman"/>
                <w:sz w:val="24"/>
                <w:szCs w:val="24"/>
              </w:rPr>
              <w:t>:</w:t>
            </w:r>
          </w:p>
          <w:p w14:paraId="2B0D31D4" w14:textId="77777777" w:rsidR="008A10FC" w:rsidRPr="00046FC6" w:rsidRDefault="008A10FC"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1) ar noteikumu projektu tiek sasniegts leģitīmais mērķis (citu personu tiesību aizsardzība);</w:t>
            </w:r>
          </w:p>
          <w:p w14:paraId="04DD938E" w14:textId="4592228D" w:rsidR="008A10FC" w:rsidRPr="00046FC6" w:rsidRDefault="008A10FC" w:rsidP="000447F2">
            <w:pPr>
              <w:spacing w:after="120" w:line="240" w:lineRule="auto"/>
              <w:jc w:val="both"/>
              <w:rPr>
                <w:rFonts w:ascii="Times New Roman" w:hAnsi="Times New Roman" w:cs="Times New Roman"/>
                <w:sz w:val="24"/>
                <w:szCs w:val="24"/>
              </w:rPr>
            </w:pPr>
            <w:r w:rsidRPr="00046FC6">
              <w:rPr>
                <w:rFonts w:ascii="Times New Roman" w:hAnsi="Times New Roman" w:cs="Times New Roman"/>
                <w:sz w:val="24"/>
                <w:szCs w:val="24"/>
              </w:rPr>
              <w:t>2)</w:t>
            </w:r>
            <w:r w:rsidR="005908D9" w:rsidRPr="00046FC6">
              <w:rPr>
                <w:rFonts w:ascii="Times New Roman" w:hAnsi="Times New Roman" w:cs="Times New Roman"/>
                <w:sz w:val="24"/>
                <w:szCs w:val="24"/>
              </w:rPr>
              <w:t> </w:t>
            </w:r>
            <w:r w:rsidRPr="00046FC6">
              <w:rPr>
                <w:rFonts w:ascii="Times New Roman" w:hAnsi="Times New Roman" w:cs="Times New Roman"/>
                <w:sz w:val="24"/>
                <w:szCs w:val="24"/>
              </w:rPr>
              <w:t>citi alternatīvie risinājumi (piemēram, vispārīga administratīvā akta izdošana) nesasniegtu leģitīmo mērķi tādā pašā kvalitātē;</w:t>
            </w:r>
          </w:p>
          <w:p w14:paraId="69102164" w14:textId="3446AF69" w:rsidR="00183596" w:rsidRPr="00046FC6" w:rsidRDefault="008A10FC" w:rsidP="000447F2">
            <w:pPr>
              <w:spacing w:after="120" w:line="240" w:lineRule="auto"/>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 xml:space="preserve">3) </w:t>
            </w:r>
            <w:r w:rsidR="00BA322F" w:rsidRPr="00046FC6">
              <w:rPr>
                <w:rFonts w:ascii="Times New Roman" w:hAnsi="Times New Roman" w:cs="Times New Roman"/>
                <w:sz w:val="24"/>
                <w:szCs w:val="24"/>
              </w:rPr>
              <w:t>pozitīvā ietekme uz privāt</w:t>
            </w:r>
            <w:r w:rsidR="005908D9" w:rsidRPr="00046FC6">
              <w:rPr>
                <w:rFonts w:ascii="Times New Roman" w:hAnsi="Times New Roman" w:cs="Times New Roman"/>
                <w:sz w:val="24"/>
                <w:szCs w:val="24"/>
              </w:rPr>
              <w:t>o</w:t>
            </w:r>
            <w:r w:rsidR="00BA322F" w:rsidRPr="00046FC6">
              <w:rPr>
                <w:rFonts w:ascii="Times New Roman" w:hAnsi="Times New Roman" w:cs="Times New Roman"/>
                <w:sz w:val="24"/>
                <w:szCs w:val="24"/>
              </w:rPr>
              <w:t xml:space="preserve"> klientu aizsardzību </w:t>
            </w:r>
            <w:r w:rsidRPr="00046FC6">
              <w:rPr>
                <w:rFonts w:ascii="Times New Roman" w:hAnsi="Times New Roman" w:cs="Times New Roman"/>
                <w:sz w:val="24"/>
                <w:szCs w:val="24"/>
              </w:rPr>
              <w:t>būs</w:t>
            </w:r>
            <w:r w:rsidR="00BA322F" w:rsidRPr="00046FC6">
              <w:rPr>
                <w:rFonts w:ascii="Times New Roman" w:hAnsi="Times New Roman" w:cs="Times New Roman"/>
                <w:sz w:val="24"/>
                <w:szCs w:val="24"/>
              </w:rPr>
              <w:t xml:space="preserve"> lielāka nekā negatīvā ietekme uz </w:t>
            </w:r>
            <w:r w:rsidR="00AB7629" w:rsidRPr="00046FC6">
              <w:rPr>
                <w:rFonts w:ascii="Times New Roman" w:hAnsi="Times New Roman" w:cs="Times New Roman"/>
                <w:sz w:val="24"/>
                <w:szCs w:val="24"/>
              </w:rPr>
              <w:t>ieguldījumu</w:t>
            </w:r>
            <w:r w:rsidRPr="00046FC6">
              <w:rPr>
                <w:rFonts w:ascii="Times New Roman" w:hAnsi="Times New Roman" w:cs="Times New Roman"/>
                <w:sz w:val="24"/>
                <w:szCs w:val="24"/>
              </w:rPr>
              <w:t xml:space="preserve"> </w:t>
            </w:r>
            <w:r w:rsidR="00BA322F" w:rsidRPr="00046FC6">
              <w:rPr>
                <w:rFonts w:ascii="Times New Roman" w:hAnsi="Times New Roman" w:cs="Times New Roman"/>
                <w:sz w:val="24"/>
                <w:szCs w:val="24"/>
              </w:rPr>
              <w:t>pakalpojumu sniedzēj</w:t>
            </w:r>
            <w:r w:rsidRPr="00046FC6">
              <w:rPr>
                <w:rFonts w:ascii="Times New Roman" w:hAnsi="Times New Roman" w:cs="Times New Roman"/>
                <w:sz w:val="24"/>
                <w:szCs w:val="24"/>
              </w:rPr>
              <w:t>iem</w:t>
            </w:r>
            <w:r w:rsidR="00BA322F" w:rsidRPr="00046FC6">
              <w:rPr>
                <w:rFonts w:ascii="Times New Roman" w:hAnsi="Times New Roman" w:cs="Times New Roman"/>
                <w:sz w:val="24"/>
                <w:szCs w:val="24"/>
              </w:rPr>
              <w:t xml:space="preserve">, ierobežojumiem nav diskriminējošas ietekmes uz citu valstu pārrobežu ieguldījumu pakalpojumu sniedzējiem Latvijā vai Latvijā dibinātiem ieguldījumu pakalpojumu sniedzējiem, kas sniedz pārrobežu pakalpojumus citās dalībvalstīs, kā arī </w:t>
            </w:r>
            <w:r w:rsidRPr="00046FC6">
              <w:rPr>
                <w:rFonts w:ascii="Times New Roman" w:hAnsi="Times New Roman" w:cs="Times New Roman"/>
                <w:sz w:val="24"/>
                <w:szCs w:val="24"/>
              </w:rPr>
              <w:t xml:space="preserve">prasību </w:t>
            </w:r>
            <w:r w:rsidR="00BA322F" w:rsidRPr="00046FC6">
              <w:rPr>
                <w:rFonts w:ascii="Times New Roman" w:hAnsi="Times New Roman" w:cs="Times New Roman"/>
                <w:sz w:val="24"/>
                <w:szCs w:val="24"/>
              </w:rPr>
              <w:t xml:space="preserve">pastāvīgais raksturs ir pamatots ar </w:t>
            </w:r>
            <w:r w:rsidR="00355285" w:rsidRPr="00046FC6">
              <w:rPr>
                <w:rFonts w:ascii="Times New Roman" w:hAnsi="Times New Roman" w:cs="Times New Roman"/>
                <w:sz w:val="24"/>
                <w:szCs w:val="24"/>
              </w:rPr>
              <w:t>līgum</w:t>
            </w:r>
            <w:r w:rsidRPr="00046FC6">
              <w:rPr>
                <w:rFonts w:ascii="Times New Roman" w:hAnsi="Times New Roman" w:cs="Times New Roman"/>
                <w:sz w:val="24"/>
                <w:szCs w:val="24"/>
              </w:rPr>
              <w:t>u</w:t>
            </w:r>
            <w:r w:rsidR="00355285" w:rsidRPr="00046FC6">
              <w:rPr>
                <w:rFonts w:ascii="Times New Roman" w:hAnsi="Times New Roman" w:cs="Times New Roman"/>
                <w:sz w:val="24"/>
                <w:szCs w:val="24"/>
              </w:rPr>
              <w:t xml:space="preserve"> par starpību un bināro iespēju līgum</w:t>
            </w:r>
            <w:r w:rsidRPr="00046FC6">
              <w:rPr>
                <w:rFonts w:ascii="Times New Roman" w:hAnsi="Times New Roman" w:cs="Times New Roman"/>
                <w:sz w:val="24"/>
                <w:szCs w:val="24"/>
              </w:rPr>
              <w:t>u</w:t>
            </w:r>
            <w:r w:rsidR="00355285" w:rsidRPr="00046FC6">
              <w:rPr>
                <w:rFonts w:ascii="Times New Roman" w:hAnsi="Times New Roman" w:cs="Times New Roman"/>
                <w:sz w:val="24"/>
                <w:szCs w:val="24"/>
              </w:rPr>
              <w:t xml:space="preserve"> </w:t>
            </w:r>
            <w:r w:rsidR="00BA322F" w:rsidRPr="00046FC6">
              <w:rPr>
                <w:rFonts w:ascii="Times New Roman" w:hAnsi="Times New Roman" w:cs="Times New Roman"/>
                <w:sz w:val="24"/>
                <w:szCs w:val="24"/>
              </w:rPr>
              <w:t>īpašībām.</w:t>
            </w:r>
          </w:p>
        </w:tc>
      </w:tr>
      <w:tr w:rsidR="000B4E0A" w:rsidRPr="00046FC6" w14:paraId="2591F751" w14:textId="77777777" w:rsidTr="0045673B">
        <w:trPr>
          <w:trHeight w:val="567"/>
        </w:trPr>
        <w:tc>
          <w:tcPr>
            <w:tcW w:w="1483" w:type="pct"/>
            <w:shd w:val="clear" w:color="auto" w:fill="auto"/>
            <w:hideMark/>
          </w:tcPr>
          <w:p w14:paraId="08A10714" w14:textId="6D7CB6F2"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lastRenderedPageBreak/>
              <w:t>Spēkā stāšanās</w:t>
            </w:r>
          </w:p>
        </w:tc>
        <w:tc>
          <w:tcPr>
            <w:tcW w:w="3517" w:type="pct"/>
            <w:shd w:val="clear" w:color="auto" w:fill="auto"/>
          </w:tcPr>
          <w:p w14:paraId="24993BA5" w14:textId="190BCD44" w:rsidR="00CA28AB" w:rsidRPr="00046FC6" w:rsidRDefault="00C978E9"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Nākamajā dienā pēc publicēšanas oficiālajā izdevumā "Latvijas Vēstnesis".</w:t>
            </w:r>
          </w:p>
        </w:tc>
      </w:tr>
      <w:tr w:rsidR="000B4E0A" w:rsidRPr="00046FC6" w14:paraId="12865487" w14:textId="77777777" w:rsidTr="0045673B">
        <w:trPr>
          <w:trHeight w:val="567"/>
        </w:trPr>
        <w:tc>
          <w:tcPr>
            <w:tcW w:w="1483" w:type="pct"/>
            <w:shd w:val="clear" w:color="auto" w:fill="auto"/>
            <w:hideMark/>
          </w:tcPr>
          <w:p w14:paraId="34A91AA2" w14:textId="00B9A85D"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Ietekme uz Latvijas Bankas budžetu</w:t>
            </w:r>
          </w:p>
        </w:tc>
        <w:tc>
          <w:tcPr>
            <w:tcW w:w="3517" w:type="pct"/>
            <w:shd w:val="clear" w:color="auto" w:fill="auto"/>
          </w:tcPr>
          <w:p w14:paraId="566F9A7B" w14:textId="52717770" w:rsidR="00E53DE9" w:rsidRPr="00046FC6" w:rsidRDefault="004B27FC"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Nav</w:t>
            </w:r>
            <w:r w:rsidR="00CC01CA" w:rsidRPr="00046FC6">
              <w:rPr>
                <w:rFonts w:ascii="Times New Roman" w:eastAsia="Times New Roman" w:hAnsi="Times New Roman" w:cs="Times New Roman"/>
                <w:sz w:val="24"/>
                <w:szCs w:val="24"/>
                <w:lang w:eastAsia="lv-LV"/>
              </w:rPr>
              <w:t>.</w:t>
            </w:r>
          </w:p>
        </w:tc>
      </w:tr>
      <w:tr w:rsidR="000B4E0A" w:rsidRPr="00046FC6" w14:paraId="6139ED23" w14:textId="77777777" w:rsidTr="0045673B">
        <w:trPr>
          <w:trHeight w:val="567"/>
        </w:trPr>
        <w:tc>
          <w:tcPr>
            <w:tcW w:w="1483" w:type="pct"/>
            <w:shd w:val="clear" w:color="auto" w:fill="auto"/>
            <w:hideMark/>
          </w:tcPr>
          <w:p w14:paraId="3BD8F625" w14:textId="04F9DDAB"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 xml:space="preserve">Administratīvā sloga un izmaksu novērtējums </w:t>
            </w:r>
            <w:r w:rsidR="00C85C34" w:rsidRPr="00046FC6">
              <w:rPr>
                <w:rFonts w:ascii="Times New Roman" w:eastAsia="Times New Roman" w:hAnsi="Times New Roman" w:cs="Times New Roman"/>
                <w:b/>
                <w:bCs/>
                <w:sz w:val="24"/>
                <w:szCs w:val="24"/>
                <w:lang w:eastAsia="lv-LV"/>
              </w:rPr>
              <w:t>(</w:t>
            </w:r>
            <w:r w:rsidRPr="00046FC6">
              <w:rPr>
                <w:rFonts w:ascii="Times New Roman" w:eastAsia="Times New Roman" w:hAnsi="Times New Roman" w:cs="Times New Roman"/>
                <w:b/>
                <w:bCs/>
                <w:sz w:val="24"/>
                <w:szCs w:val="24"/>
                <w:lang w:eastAsia="lv-LV"/>
              </w:rPr>
              <w:t>tirgus dalībniekiem</w:t>
            </w:r>
            <w:r w:rsidR="00C85C34" w:rsidRPr="00046FC6">
              <w:rPr>
                <w:rFonts w:ascii="Times New Roman" w:eastAsia="Times New Roman" w:hAnsi="Times New Roman" w:cs="Times New Roman"/>
                <w:b/>
                <w:bCs/>
                <w:sz w:val="24"/>
                <w:szCs w:val="24"/>
                <w:lang w:eastAsia="lv-LV"/>
              </w:rPr>
              <w:t>)</w:t>
            </w:r>
          </w:p>
        </w:tc>
        <w:tc>
          <w:tcPr>
            <w:tcW w:w="3517" w:type="pct"/>
            <w:shd w:val="clear" w:color="auto" w:fill="auto"/>
          </w:tcPr>
          <w:p w14:paraId="0D67C695" w14:textId="6F2ECB9F" w:rsidR="00A42788" w:rsidRPr="00046FC6" w:rsidRDefault="00CC01CA"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Noteikumu projekts nerada jaunas administratīvās izmaksas vai jaunu administratīvo slogu finanšu tirgus dalībniekiem, salīdzinot ar Noteikumiem Nr.</w:t>
            </w:r>
            <w:r w:rsidR="00976D99" w:rsidRPr="00046FC6">
              <w:rPr>
                <w:rFonts w:ascii="Times New Roman" w:eastAsia="Times New Roman" w:hAnsi="Times New Roman" w:cs="Times New Roman"/>
                <w:sz w:val="24"/>
                <w:szCs w:val="24"/>
                <w:lang w:eastAsia="lv-LV"/>
              </w:rPr>
              <w:t> </w:t>
            </w:r>
            <w:r w:rsidRPr="00046FC6">
              <w:rPr>
                <w:rFonts w:ascii="Times New Roman" w:eastAsia="Times New Roman" w:hAnsi="Times New Roman" w:cs="Times New Roman"/>
                <w:sz w:val="24"/>
                <w:szCs w:val="24"/>
                <w:lang w:eastAsia="lv-LV"/>
              </w:rPr>
              <w:t>119.</w:t>
            </w:r>
          </w:p>
        </w:tc>
      </w:tr>
      <w:tr w:rsidR="000B4E0A" w:rsidRPr="00046FC6" w14:paraId="6E581E8B" w14:textId="77777777" w:rsidTr="0045673B">
        <w:trPr>
          <w:trHeight w:val="567"/>
        </w:trPr>
        <w:tc>
          <w:tcPr>
            <w:tcW w:w="1483" w:type="pct"/>
            <w:shd w:val="clear" w:color="auto" w:fill="auto"/>
            <w:hideMark/>
          </w:tcPr>
          <w:p w14:paraId="0F3A14EE" w14:textId="4B29283F"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Saistītie dokumenti</w:t>
            </w:r>
          </w:p>
        </w:tc>
        <w:tc>
          <w:tcPr>
            <w:tcW w:w="3517" w:type="pct"/>
            <w:shd w:val="clear" w:color="auto" w:fill="auto"/>
          </w:tcPr>
          <w:p w14:paraId="063F7CAD" w14:textId="16C40F96" w:rsidR="000C00DC" w:rsidRPr="00046FC6" w:rsidRDefault="00220A2F"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L</w:t>
            </w:r>
            <w:r w:rsidR="00355285" w:rsidRPr="00046FC6">
              <w:rPr>
                <w:rFonts w:ascii="Times New Roman" w:eastAsia="Times New Roman" w:hAnsi="Times New Roman" w:cs="Times New Roman"/>
                <w:sz w:val="24"/>
                <w:szCs w:val="24"/>
                <w:lang w:eastAsia="lv-LV"/>
              </w:rPr>
              <w:t>ikums</w:t>
            </w:r>
            <w:r w:rsidR="000447F2" w:rsidRPr="00046FC6">
              <w:rPr>
                <w:rFonts w:ascii="Times New Roman" w:eastAsia="Times New Roman" w:hAnsi="Times New Roman" w:cs="Times New Roman"/>
                <w:sz w:val="24"/>
                <w:szCs w:val="24"/>
                <w:lang w:eastAsia="lv-LV"/>
              </w:rPr>
              <w:t>.</w:t>
            </w:r>
          </w:p>
          <w:p w14:paraId="309044AA" w14:textId="7A96A90F" w:rsidR="000C00DC" w:rsidRPr="00046FC6" w:rsidRDefault="000C00DC"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Regula Nr. 600/2014</w:t>
            </w:r>
            <w:r w:rsidR="000447F2" w:rsidRPr="00046FC6">
              <w:rPr>
                <w:rFonts w:ascii="Times New Roman" w:eastAsia="Times New Roman" w:hAnsi="Times New Roman" w:cs="Times New Roman"/>
                <w:sz w:val="24"/>
                <w:szCs w:val="24"/>
                <w:lang w:eastAsia="lv-LV"/>
              </w:rPr>
              <w:t xml:space="preserve">. </w:t>
            </w:r>
          </w:p>
          <w:p w14:paraId="308B5CAB" w14:textId="00E08DCD" w:rsidR="000C00DC" w:rsidRPr="00046FC6" w:rsidRDefault="00C0753D"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ar-SA"/>
              </w:rPr>
              <w:t>Deleģētā r</w:t>
            </w:r>
            <w:r w:rsidR="000C00DC" w:rsidRPr="00046FC6">
              <w:rPr>
                <w:rFonts w:ascii="Times New Roman" w:eastAsia="Times New Roman" w:hAnsi="Times New Roman" w:cs="Times New Roman"/>
                <w:sz w:val="24"/>
                <w:szCs w:val="24"/>
                <w:lang w:eastAsia="ar-SA"/>
              </w:rPr>
              <w:t>egula Nr. 2017/567</w:t>
            </w:r>
            <w:r w:rsidR="000447F2" w:rsidRPr="00046FC6">
              <w:rPr>
                <w:rFonts w:ascii="Times New Roman" w:eastAsia="Times New Roman" w:hAnsi="Times New Roman" w:cs="Times New Roman"/>
                <w:sz w:val="24"/>
                <w:szCs w:val="24"/>
                <w:lang w:eastAsia="ar-SA"/>
              </w:rPr>
              <w:t xml:space="preserve">. </w:t>
            </w:r>
          </w:p>
          <w:p w14:paraId="65AD40CB" w14:textId="41ACB3EF" w:rsidR="000C00DC" w:rsidRPr="00046FC6" w:rsidRDefault="000C00DC"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Noteikumi Nr. 119</w:t>
            </w:r>
            <w:r w:rsidR="000447F2" w:rsidRPr="00046FC6">
              <w:rPr>
                <w:rFonts w:ascii="Times New Roman" w:eastAsia="Times New Roman" w:hAnsi="Times New Roman" w:cs="Times New Roman"/>
                <w:sz w:val="24"/>
                <w:szCs w:val="24"/>
                <w:lang w:eastAsia="lv-LV"/>
              </w:rPr>
              <w:t xml:space="preserve">. </w:t>
            </w:r>
          </w:p>
          <w:p w14:paraId="4BAF1A1C" w14:textId="197FB616" w:rsidR="000C00DC" w:rsidRPr="00046FC6" w:rsidRDefault="005A7E69" w:rsidP="006F52F7">
            <w:pPr>
              <w:pStyle w:val="ListParagraph"/>
              <w:numPr>
                <w:ilvl w:val="0"/>
                <w:numId w:val="3"/>
              </w:numPr>
              <w:tabs>
                <w:tab w:val="left" w:pos="320"/>
                <w:tab w:val="left" w:pos="458"/>
              </w:tabs>
              <w:spacing w:after="120" w:line="240" w:lineRule="auto"/>
              <w:ind w:left="0" w:firstLine="0"/>
              <w:contextualSpacing w:val="0"/>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EVTI 2018.</w:t>
            </w:r>
            <w:r w:rsidR="008A10FC" w:rsidRPr="00046FC6">
              <w:rPr>
                <w:rFonts w:ascii="Times New Roman" w:hAnsi="Times New Roman" w:cs="Times New Roman"/>
                <w:sz w:val="24"/>
                <w:szCs w:val="24"/>
              </w:rPr>
              <w:t> </w:t>
            </w:r>
            <w:r w:rsidRPr="00046FC6">
              <w:rPr>
                <w:rFonts w:ascii="Times New Roman" w:hAnsi="Times New Roman" w:cs="Times New Roman"/>
                <w:sz w:val="24"/>
                <w:szCs w:val="24"/>
              </w:rPr>
              <w:t>gada 22.</w:t>
            </w:r>
            <w:r w:rsidR="008A10FC" w:rsidRPr="00046FC6">
              <w:rPr>
                <w:rFonts w:ascii="Times New Roman" w:hAnsi="Times New Roman" w:cs="Times New Roman"/>
                <w:sz w:val="24"/>
                <w:szCs w:val="24"/>
              </w:rPr>
              <w:t> </w:t>
            </w:r>
            <w:r w:rsidRPr="00046FC6">
              <w:rPr>
                <w:rFonts w:ascii="Times New Roman" w:hAnsi="Times New Roman" w:cs="Times New Roman"/>
                <w:sz w:val="24"/>
                <w:szCs w:val="24"/>
              </w:rPr>
              <w:t>maija lēmums (ES)</w:t>
            </w:r>
            <w:r w:rsidR="008A10FC" w:rsidRPr="00046FC6">
              <w:rPr>
                <w:rFonts w:ascii="Times New Roman" w:hAnsi="Times New Roman" w:cs="Times New Roman"/>
                <w:sz w:val="24"/>
                <w:szCs w:val="24"/>
              </w:rPr>
              <w:t> </w:t>
            </w:r>
            <w:r w:rsidRPr="00046FC6">
              <w:rPr>
                <w:rFonts w:ascii="Times New Roman" w:hAnsi="Times New Roman" w:cs="Times New Roman"/>
                <w:sz w:val="24"/>
                <w:szCs w:val="24"/>
              </w:rPr>
              <w:t xml:space="preserve">2018/796 par cenu starpību līgumu pagaidu ierobežošanu Savienībā saskaņā ar </w:t>
            </w:r>
            <w:r w:rsidRPr="00046FC6">
              <w:rPr>
                <w:rFonts w:ascii="Times New Roman" w:hAnsi="Times New Roman" w:cs="Times New Roman"/>
                <w:sz w:val="24"/>
                <w:szCs w:val="24"/>
              </w:rPr>
              <w:lastRenderedPageBreak/>
              <w:t>Eiropas Parlamenta un Padomes regulas (ES) Nr.</w:t>
            </w:r>
            <w:r w:rsidR="008A10FC" w:rsidRPr="00046FC6">
              <w:rPr>
                <w:rFonts w:ascii="Times New Roman" w:hAnsi="Times New Roman" w:cs="Times New Roman"/>
                <w:sz w:val="24"/>
                <w:szCs w:val="24"/>
              </w:rPr>
              <w:t> </w:t>
            </w:r>
            <w:r w:rsidRPr="00046FC6">
              <w:rPr>
                <w:rFonts w:ascii="Times New Roman" w:hAnsi="Times New Roman" w:cs="Times New Roman"/>
                <w:sz w:val="24"/>
                <w:szCs w:val="24"/>
              </w:rPr>
              <w:t>600/2014 40.</w:t>
            </w:r>
            <w:r w:rsidR="008A10FC" w:rsidRPr="00046FC6">
              <w:rPr>
                <w:rFonts w:ascii="Times New Roman" w:hAnsi="Times New Roman" w:cs="Times New Roman"/>
                <w:sz w:val="24"/>
                <w:szCs w:val="24"/>
              </w:rPr>
              <w:t> </w:t>
            </w:r>
            <w:r w:rsidRPr="00046FC6">
              <w:rPr>
                <w:rFonts w:ascii="Times New Roman" w:hAnsi="Times New Roman" w:cs="Times New Roman"/>
                <w:sz w:val="24"/>
                <w:szCs w:val="24"/>
              </w:rPr>
              <w:t>pantu</w:t>
            </w:r>
            <w:r w:rsidR="000447F2" w:rsidRPr="00046FC6">
              <w:rPr>
                <w:rFonts w:ascii="Times New Roman" w:hAnsi="Times New Roman" w:cs="Times New Roman"/>
                <w:sz w:val="24"/>
                <w:szCs w:val="24"/>
              </w:rPr>
              <w:t xml:space="preserve">. </w:t>
            </w:r>
          </w:p>
          <w:p w14:paraId="7341771F" w14:textId="53793C43" w:rsidR="000C00DC" w:rsidRPr="00046FC6" w:rsidRDefault="005A7E69"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EVTI</w:t>
            </w:r>
            <w:r w:rsidR="009E108D" w:rsidRPr="00046FC6">
              <w:rPr>
                <w:rFonts w:ascii="Times New Roman" w:eastAsia="Times New Roman" w:hAnsi="Times New Roman" w:cs="Times New Roman"/>
                <w:sz w:val="24"/>
                <w:szCs w:val="24"/>
                <w:lang w:eastAsia="lv-LV"/>
              </w:rPr>
              <w:t xml:space="preserve"> </w:t>
            </w:r>
            <w:r w:rsidR="00F8190C" w:rsidRPr="00046FC6">
              <w:rPr>
                <w:rFonts w:ascii="Times New Roman" w:eastAsia="Times New Roman" w:hAnsi="Times New Roman" w:cs="Times New Roman"/>
                <w:sz w:val="24"/>
                <w:szCs w:val="24"/>
                <w:lang w:eastAsia="lv-LV"/>
              </w:rPr>
              <w:t>2018. gada 23. oktobra l</w:t>
            </w:r>
            <w:r w:rsidR="009E108D" w:rsidRPr="00046FC6">
              <w:rPr>
                <w:rFonts w:ascii="Times New Roman" w:eastAsia="Times New Roman" w:hAnsi="Times New Roman" w:cs="Times New Roman"/>
                <w:sz w:val="24"/>
                <w:szCs w:val="24"/>
                <w:lang w:eastAsia="lv-LV"/>
              </w:rPr>
              <w:t>ēmums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 xml:space="preserve">2018/1636 par pagaidu ierobežojuma atjaunošanu un grozīšanu attiecībā uz </w:t>
            </w:r>
            <w:r w:rsidR="005908D9" w:rsidRPr="00046FC6">
              <w:rPr>
                <w:rFonts w:ascii="Times New Roman" w:eastAsia="Times New Roman" w:hAnsi="Times New Roman" w:cs="Times New Roman"/>
                <w:sz w:val="24"/>
                <w:szCs w:val="24"/>
                <w:lang w:eastAsia="lv-LV"/>
              </w:rPr>
              <w:t xml:space="preserve">lēmumu </w:t>
            </w:r>
            <w:r w:rsidR="009E108D" w:rsidRPr="00046FC6">
              <w:rPr>
                <w:rFonts w:ascii="Times New Roman" w:eastAsia="Times New Roman" w:hAnsi="Times New Roman" w:cs="Times New Roman"/>
                <w:sz w:val="24"/>
                <w:szCs w:val="24"/>
                <w:lang w:eastAsia="lv-LV"/>
              </w:rPr>
              <w:t>(ES)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2018/796 par cenu starpības līgumu izplatīšanu vai pārdošanu privātajiem klientiem</w:t>
            </w:r>
            <w:r w:rsidR="00930DFD" w:rsidRPr="00046FC6">
              <w:rPr>
                <w:rFonts w:ascii="Times New Roman" w:eastAsia="Times New Roman" w:hAnsi="Times New Roman" w:cs="Times New Roman"/>
                <w:sz w:val="24"/>
                <w:szCs w:val="24"/>
                <w:lang w:eastAsia="lv-LV"/>
              </w:rPr>
              <w:t xml:space="preserve">. </w:t>
            </w:r>
          </w:p>
          <w:p w14:paraId="3F24CB02" w14:textId="6D09C11C" w:rsidR="000C00DC" w:rsidRPr="00046FC6" w:rsidRDefault="005A7E69"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EVTI</w:t>
            </w:r>
            <w:r w:rsidR="009E108D" w:rsidRPr="00046FC6">
              <w:rPr>
                <w:rFonts w:ascii="Times New Roman" w:eastAsia="Times New Roman" w:hAnsi="Times New Roman" w:cs="Times New Roman"/>
                <w:sz w:val="24"/>
                <w:szCs w:val="24"/>
                <w:lang w:eastAsia="lv-LV"/>
              </w:rPr>
              <w:t xml:space="preserve"> </w:t>
            </w:r>
            <w:r w:rsidR="00F8190C" w:rsidRPr="00046FC6">
              <w:rPr>
                <w:rFonts w:ascii="Times New Roman" w:eastAsia="Times New Roman" w:hAnsi="Times New Roman" w:cs="Times New Roman"/>
                <w:sz w:val="24"/>
                <w:szCs w:val="24"/>
                <w:lang w:eastAsia="lv-LV"/>
              </w:rPr>
              <w:t>2019. gada 23. janvāra l</w:t>
            </w:r>
            <w:r w:rsidR="009E108D" w:rsidRPr="00046FC6">
              <w:rPr>
                <w:rFonts w:ascii="Times New Roman" w:eastAsia="Times New Roman" w:hAnsi="Times New Roman" w:cs="Times New Roman"/>
                <w:sz w:val="24"/>
                <w:szCs w:val="24"/>
                <w:lang w:eastAsia="lv-LV"/>
              </w:rPr>
              <w:t>ēmums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2019/155, ar ko atjauno pagaidu ierobežojumu par cenu starpības līgumu tirdzniecību, izplatīšanu vai pārdošanu privātajiem klientiem</w:t>
            </w:r>
            <w:r w:rsidR="00930DFD" w:rsidRPr="00046FC6">
              <w:rPr>
                <w:rFonts w:ascii="Times New Roman" w:eastAsia="Times New Roman" w:hAnsi="Times New Roman" w:cs="Times New Roman"/>
                <w:sz w:val="24"/>
                <w:szCs w:val="24"/>
                <w:lang w:eastAsia="lv-LV"/>
              </w:rPr>
              <w:t xml:space="preserve">. </w:t>
            </w:r>
          </w:p>
          <w:p w14:paraId="7B41DA55" w14:textId="2A424928" w:rsidR="000C00DC" w:rsidRPr="00046FC6" w:rsidRDefault="005A7E69"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EVTI</w:t>
            </w:r>
            <w:r w:rsidR="009E108D" w:rsidRPr="00046FC6">
              <w:rPr>
                <w:rFonts w:ascii="Times New Roman" w:eastAsia="Times New Roman" w:hAnsi="Times New Roman" w:cs="Times New Roman"/>
                <w:sz w:val="24"/>
                <w:szCs w:val="24"/>
                <w:lang w:eastAsia="lv-LV"/>
              </w:rPr>
              <w:t xml:space="preserve"> </w:t>
            </w:r>
            <w:r w:rsidR="00F8190C" w:rsidRPr="00046FC6">
              <w:rPr>
                <w:rFonts w:ascii="Times New Roman" w:eastAsia="Times New Roman" w:hAnsi="Times New Roman" w:cs="Times New Roman"/>
                <w:sz w:val="24"/>
                <w:szCs w:val="24"/>
                <w:lang w:eastAsia="lv-LV"/>
              </w:rPr>
              <w:t>2019. gada 17. aprīļa l</w:t>
            </w:r>
            <w:r w:rsidR="009E108D" w:rsidRPr="00046FC6">
              <w:rPr>
                <w:rFonts w:ascii="Times New Roman" w:eastAsia="Times New Roman" w:hAnsi="Times New Roman" w:cs="Times New Roman"/>
                <w:sz w:val="24"/>
                <w:szCs w:val="24"/>
                <w:lang w:eastAsia="lv-LV"/>
              </w:rPr>
              <w:t>ēmums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2019/679, ar ko atjauno pagaidu ierobežojumu par cenu starpības līgumu tirdzniecību, izplatīšanu vai pārdošanu privātajiem klientiem</w:t>
            </w:r>
            <w:r w:rsidR="00930DFD" w:rsidRPr="00046FC6">
              <w:rPr>
                <w:rFonts w:ascii="Times New Roman" w:eastAsia="Times New Roman" w:hAnsi="Times New Roman" w:cs="Times New Roman"/>
                <w:sz w:val="24"/>
                <w:szCs w:val="24"/>
                <w:lang w:eastAsia="lv-LV"/>
              </w:rPr>
              <w:t>.</w:t>
            </w:r>
            <w:r w:rsidR="000C00DC" w:rsidRPr="00046FC6">
              <w:rPr>
                <w:rFonts w:ascii="Times New Roman" w:eastAsia="Times New Roman" w:hAnsi="Times New Roman" w:cs="Times New Roman"/>
                <w:sz w:val="24"/>
                <w:szCs w:val="24"/>
                <w:lang w:eastAsia="lv-LV"/>
              </w:rPr>
              <w:t xml:space="preserve"> </w:t>
            </w:r>
          </w:p>
          <w:p w14:paraId="0059D817" w14:textId="4BFD5248" w:rsidR="000C00DC" w:rsidRPr="00046FC6" w:rsidRDefault="00A83584"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EVTI 2018.</w:t>
            </w:r>
            <w:r w:rsidR="00AB7629" w:rsidRPr="00046FC6">
              <w:rPr>
                <w:rFonts w:ascii="Times New Roman" w:hAnsi="Times New Roman" w:cs="Times New Roman"/>
                <w:sz w:val="24"/>
                <w:szCs w:val="24"/>
              </w:rPr>
              <w:t> </w:t>
            </w:r>
            <w:r w:rsidRPr="00046FC6">
              <w:rPr>
                <w:rFonts w:ascii="Times New Roman" w:hAnsi="Times New Roman" w:cs="Times New Roman"/>
                <w:sz w:val="24"/>
                <w:szCs w:val="24"/>
              </w:rPr>
              <w:t>gada 22.</w:t>
            </w:r>
            <w:r w:rsidR="00AB7629" w:rsidRPr="00046FC6">
              <w:rPr>
                <w:rFonts w:ascii="Times New Roman" w:hAnsi="Times New Roman" w:cs="Times New Roman"/>
                <w:sz w:val="24"/>
                <w:szCs w:val="24"/>
              </w:rPr>
              <w:t> </w:t>
            </w:r>
            <w:r w:rsidRPr="00046FC6">
              <w:rPr>
                <w:rFonts w:ascii="Times New Roman" w:hAnsi="Times New Roman" w:cs="Times New Roman"/>
                <w:sz w:val="24"/>
                <w:szCs w:val="24"/>
              </w:rPr>
              <w:t>maija lēmums (ES)</w:t>
            </w:r>
            <w:r w:rsidR="00AB7629" w:rsidRPr="00046FC6">
              <w:rPr>
                <w:rFonts w:ascii="Times New Roman" w:hAnsi="Times New Roman" w:cs="Times New Roman"/>
                <w:sz w:val="24"/>
                <w:szCs w:val="24"/>
              </w:rPr>
              <w:t> </w:t>
            </w:r>
            <w:r w:rsidRPr="00046FC6">
              <w:rPr>
                <w:rFonts w:ascii="Times New Roman" w:hAnsi="Times New Roman" w:cs="Times New Roman"/>
                <w:sz w:val="24"/>
                <w:szCs w:val="24"/>
              </w:rPr>
              <w:t>2018/795 uz laiku aizliegt bināro opciju tirdzniecību, izplatīšanu un pārdošanu privātajiem klientiem Savienībā saskaņā ar Eiropas Parlamenta un Padomes regulas (ES) Nr.</w:t>
            </w:r>
            <w:r w:rsidR="00AB7629" w:rsidRPr="00046FC6">
              <w:rPr>
                <w:rFonts w:ascii="Times New Roman" w:hAnsi="Times New Roman" w:cs="Times New Roman"/>
                <w:sz w:val="24"/>
                <w:szCs w:val="24"/>
              </w:rPr>
              <w:t> </w:t>
            </w:r>
            <w:r w:rsidRPr="00046FC6">
              <w:rPr>
                <w:rFonts w:ascii="Times New Roman" w:hAnsi="Times New Roman" w:cs="Times New Roman"/>
                <w:sz w:val="24"/>
                <w:szCs w:val="24"/>
              </w:rPr>
              <w:t>600/2014 40.</w:t>
            </w:r>
            <w:r w:rsidR="00AB7629" w:rsidRPr="00046FC6">
              <w:rPr>
                <w:rFonts w:ascii="Times New Roman" w:hAnsi="Times New Roman" w:cs="Times New Roman"/>
                <w:sz w:val="24"/>
                <w:szCs w:val="24"/>
              </w:rPr>
              <w:t> </w:t>
            </w:r>
            <w:r w:rsidRPr="00046FC6">
              <w:rPr>
                <w:rFonts w:ascii="Times New Roman" w:hAnsi="Times New Roman" w:cs="Times New Roman"/>
                <w:sz w:val="24"/>
                <w:szCs w:val="24"/>
              </w:rPr>
              <w:t>pantu</w:t>
            </w:r>
            <w:r w:rsidR="00930DFD" w:rsidRPr="00046FC6">
              <w:rPr>
                <w:rFonts w:ascii="Times New Roman" w:hAnsi="Times New Roman" w:cs="Times New Roman"/>
                <w:sz w:val="24"/>
                <w:szCs w:val="24"/>
              </w:rPr>
              <w:t xml:space="preserve">. </w:t>
            </w:r>
          </w:p>
          <w:p w14:paraId="6D625EAA" w14:textId="504A6A53" w:rsidR="000C00DC" w:rsidRPr="00046FC6" w:rsidRDefault="00A83584"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 xml:space="preserve">EVTI </w:t>
            </w:r>
            <w:r w:rsidR="00844AA5" w:rsidRPr="00046FC6">
              <w:rPr>
                <w:rFonts w:ascii="Times New Roman" w:eastAsia="Times New Roman" w:hAnsi="Times New Roman" w:cs="Times New Roman"/>
                <w:sz w:val="24"/>
                <w:szCs w:val="24"/>
                <w:lang w:eastAsia="lv-LV"/>
              </w:rPr>
              <w:t>2018. gada 21. septembra l</w:t>
            </w:r>
            <w:r w:rsidR="009E108D" w:rsidRPr="00046FC6">
              <w:rPr>
                <w:rFonts w:ascii="Times New Roman" w:eastAsia="Times New Roman" w:hAnsi="Times New Roman" w:cs="Times New Roman"/>
                <w:sz w:val="24"/>
                <w:szCs w:val="24"/>
                <w:lang w:eastAsia="lv-LV"/>
              </w:rPr>
              <w:t>ēmums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 xml:space="preserve">2018/1466 par pagaidu aizlieguma atjaunošanu un grozīšanu attiecībā uz </w:t>
            </w:r>
            <w:r w:rsidR="00AB7629" w:rsidRPr="00046FC6">
              <w:rPr>
                <w:rFonts w:ascii="Times New Roman" w:eastAsia="Times New Roman" w:hAnsi="Times New Roman" w:cs="Times New Roman"/>
                <w:sz w:val="24"/>
                <w:szCs w:val="24"/>
                <w:lang w:eastAsia="lv-LV"/>
              </w:rPr>
              <w:t>l</w:t>
            </w:r>
            <w:r w:rsidR="009E108D" w:rsidRPr="00046FC6">
              <w:rPr>
                <w:rFonts w:ascii="Times New Roman" w:eastAsia="Times New Roman" w:hAnsi="Times New Roman" w:cs="Times New Roman"/>
                <w:sz w:val="24"/>
                <w:szCs w:val="24"/>
                <w:lang w:eastAsia="lv-LV"/>
              </w:rPr>
              <w:t>ēmumu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2018/795 par bināro opciju tirdzniecību, izplatīšanu vai pārdošanu privātajiem klientiem</w:t>
            </w:r>
            <w:r w:rsidR="00930DFD" w:rsidRPr="00046FC6">
              <w:rPr>
                <w:rFonts w:ascii="Times New Roman" w:eastAsia="Times New Roman" w:hAnsi="Times New Roman" w:cs="Times New Roman"/>
                <w:sz w:val="24"/>
                <w:szCs w:val="24"/>
                <w:lang w:eastAsia="lv-LV"/>
              </w:rPr>
              <w:t xml:space="preserve">. </w:t>
            </w:r>
          </w:p>
          <w:p w14:paraId="2C7D2D47" w14:textId="51DDC7A5" w:rsidR="000C00DC" w:rsidRPr="00046FC6" w:rsidRDefault="00A83584" w:rsidP="006F52F7">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 xml:space="preserve">EVTI </w:t>
            </w:r>
            <w:r w:rsidR="00844AA5" w:rsidRPr="00046FC6">
              <w:rPr>
                <w:rFonts w:ascii="Times New Roman" w:eastAsia="Times New Roman" w:hAnsi="Times New Roman" w:cs="Times New Roman"/>
                <w:sz w:val="24"/>
                <w:szCs w:val="24"/>
                <w:lang w:eastAsia="lv-LV"/>
              </w:rPr>
              <w:t>2018. gada 14. decembra l</w:t>
            </w:r>
            <w:r w:rsidR="009E108D" w:rsidRPr="00046FC6">
              <w:rPr>
                <w:rFonts w:ascii="Times New Roman" w:eastAsia="Times New Roman" w:hAnsi="Times New Roman" w:cs="Times New Roman"/>
                <w:sz w:val="24"/>
                <w:szCs w:val="24"/>
                <w:lang w:eastAsia="lv-LV"/>
              </w:rPr>
              <w:t>ēmums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2018/2064, ar ko atjauno pagaidu aizliegumu par bināro opciju tirdzniecību, izplatīšanu vai pārdošanu privātiem klientiem</w:t>
            </w:r>
            <w:r w:rsidR="00930DFD" w:rsidRPr="00046FC6">
              <w:rPr>
                <w:rFonts w:ascii="Times New Roman" w:eastAsia="Times New Roman" w:hAnsi="Times New Roman" w:cs="Times New Roman"/>
                <w:sz w:val="24"/>
                <w:szCs w:val="24"/>
                <w:lang w:eastAsia="lv-LV"/>
              </w:rPr>
              <w:t>.</w:t>
            </w:r>
            <w:r w:rsidR="000C00DC" w:rsidRPr="00046FC6">
              <w:rPr>
                <w:rFonts w:ascii="Times New Roman" w:eastAsia="Times New Roman" w:hAnsi="Times New Roman" w:cs="Times New Roman"/>
                <w:sz w:val="24"/>
                <w:szCs w:val="24"/>
                <w:lang w:eastAsia="lv-LV"/>
              </w:rPr>
              <w:t xml:space="preserve"> </w:t>
            </w:r>
          </w:p>
          <w:p w14:paraId="4241B8B7" w14:textId="5D32CDE9" w:rsidR="009E108D" w:rsidRPr="00046FC6" w:rsidRDefault="00A83584" w:rsidP="000C00DC">
            <w:pPr>
              <w:pStyle w:val="ListParagraph"/>
              <w:numPr>
                <w:ilvl w:val="0"/>
                <w:numId w:val="3"/>
              </w:numPr>
              <w:tabs>
                <w:tab w:val="left" w:pos="320"/>
                <w:tab w:val="left" w:pos="458"/>
              </w:tabs>
              <w:spacing w:after="120" w:line="240" w:lineRule="auto"/>
              <w:ind w:left="32" w:firstLine="0"/>
              <w:contextualSpacing w:val="0"/>
              <w:jc w:val="both"/>
              <w:rPr>
                <w:rFonts w:ascii="Times New Roman" w:eastAsia="Times New Roman" w:hAnsi="Times New Roman" w:cs="Times New Roman"/>
                <w:sz w:val="24"/>
                <w:szCs w:val="24"/>
                <w:lang w:eastAsia="lv-LV"/>
              </w:rPr>
            </w:pPr>
            <w:r w:rsidRPr="00046FC6">
              <w:rPr>
                <w:rFonts w:ascii="Times New Roman" w:hAnsi="Times New Roman" w:cs="Times New Roman"/>
                <w:sz w:val="24"/>
                <w:szCs w:val="24"/>
              </w:rPr>
              <w:t xml:space="preserve">EVTI </w:t>
            </w:r>
            <w:r w:rsidR="00844AA5" w:rsidRPr="00046FC6">
              <w:rPr>
                <w:rFonts w:ascii="Times New Roman" w:eastAsia="Times New Roman" w:hAnsi="Times New Roman" w:cs="Times New Roman"/>
                <w:sz w:val="24"/>
                <w:szCs w:val="24"/>
                <w:lang w:eastAsia="lv-LV"/>
              </w:rPr>
              <w:t>2019. gada 22. marta l</w:t>
            </w:r>
            <w:r w:rsidR="009E108D" w:rsidRPr="00046FC6">
              <w:rPr>
                <w:rFonts w:ascii="Times New Roman" w:eastAsia="Times New Roman" w:hAnsi="Times New Roman" w:cs="Times New Roman"/>
                <w:sz w:val="24"/>
                <w:szCs w:val="24"/>
                <w:lang w:eastAsia="lv-LV"/>
              </w:rPr>
              <w:t>ēmums (ES)</w:t>
            </w:r>
            <w:r w:rsidR="00AB7629" w:rsidRPr="00046FC6">
              <w:rPr>
                <w:rFonts w:ascii="Times New Roman" w:eastAsia="Times New Roman" w:hAnsi="Times New Roman" w:cs="Times New Roman"/>
                <w:sz w:val="24"/>
                <w:szCs w:val="24"/>
                <w:lang w:eastAsia="lv-LV"/>
              </w:rPr>
              <w:t> </w:t>
            </w:r>
            <w:r w:rsidR="009E108D" w:rsidRPr="00046FC6">
              <w:rPr>
                <w:rFonts w:ascii="Times New Roman" w:eastAsia="Times New Roman" w:hAnsi="Times New Roman" w:cs="Times New Roman"/>
                <w:sz w:val="24"/>
                <w:szCs w:val="24"/>
                <w:lang w:eastAsia="lv-LV"/>
              </w:rPr>
              <w:t>2019/509, ar ko atjauno pagaidu aizliegumu par bināro opciju tirdzniecību, izplatīšanu vai pārdošanu privātiem klientiem</w:t>
            </w:r>
            <w:r w:rsidR="000C00DC" w:rsidRPr="00046FC6">
              <w:rPr>
                <w:rFonts w:ascii="Times New Roman" w:eastAsia="Times New Roman" w:hAnsi="Times New Roman" w:cs="Times New Roman"/>
                <w:sz w:val="24"/>
                <w:szCs w:val="24"/>
                <w:lang w:eastAsia="lv-LV"/>
              </w:rPr>
              <w:t>.</w:t>
            </w:r>
          </w:p>
        </w:tc>
      </w:tr>
      <w:tr w:rsidR="000B4E0A" w:rsidRPr="00046FC6" w14:paraId="4FE0FDA4" w14:textId="77777777" w:rsidTr="0045673B">
        <w:trPr>
          <w:trHeight w:val="567"/>
        </w:trPr>
        <w:tc>
          <w:tcPr>
            <w:tcW w:w="1483" w:type="pct"/>
            <w:shd w:val="clear" w:color="auto" w:fill="auto"/>
            <w:hideMark/>
          </w:tcPr>
          <w:p w14:paraId="0B682302" w14:textId="41EC57EC"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lastRenderedPageBreak/>
              <w:t>Saskaņošana ar Eiropas Centrālo banku</w:t>
            </w:r>
          </w:p>
        </w:tc>
        <w:tc>
          <w:tcPr>
            <w:tcW w:w="3517" w:type="pct"/>
            <w:shd w:val="clear" w:color="auto" w:fill="auto"/>
          </w:tcPr>
          <w:p w14:paraId="3513B3AF" w14:textId="5B0A3BA2" w:rsidR="00A42788" w:rsidRPr="00046FC6" w:rsidRDefault="00A61C66"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N</w:t>
            </w:r>
            <w:r w:rsidR="00183596" w:rsidRPr="00046FC6">
              <w:rPr>
                <w:rFonts w:ascii="Times New Roman" w:eastAsia="Times New Roman" w:hAnsi="Times New Roman" w:cs="Times New Roman"/>
                <w:sz w:val="24"/>
                <w:szCs w:val="24"/>
                <w:lang w:eastAsia="lv-LV"/>
              </w:rPr>
              <w:t>oteikumu projekt</w:t>
            </w:r>
            <w:r w:rsidR="005529BF" w:rsidRPr="00046FC6">
              <w:rPr>
                <w:rFonts w:ascii="Times New Roman" w:eastAsia="Times New Roman" w:hAnsi="Times New Roman" w:cs="Times New Roman"/>
                <w:sz w:val="24"/>
                <w:szCs w:val="24"/>
                <w:lang w:eastAsia="lv-LV"/>
              </w:rPr>
              <w:t>u n</w:t>
            </w:r>
            <w:r w:rsidRPr="00046FC6">
              <w:rPr>
                <w:rFonts w:ascii="Times New Roman" w:eastAsia="Times New Roman" w:hAnsi="Times New Roman" w:cs="Times New Roman"/>
                <w:sz w:val="24"/>
                <w:szCs w:val="24"/>
                <w:lang w:eastAsia="lv-LV"/>
              </w:rPr>
              <w:t>av</w:t>
            </w:r>
            <w:r w:rsidR="005529BF" w:rsidRPr="00046FC6">
              <w:rPr>
                <w:rFonts w:ascii="Times New Roman" w:eastAsia="Times New Roman" w:hAnsi="Times New Roman" w:cs="Times New Roman"/>
                <w:sz w:val="24"/>
                <w:szCs w:val="24"/>
                <w:lang w:eastAsia="lv-LV"/>
              </w:rPr>
              <w:t xml:space="preserve"> </w:t>
            </w:r>
            <w:r w:rsidR="005529BF" w:rsidRPr="00046FC6">
              <w:rPr>
                <w:rFonts w:ascii="Times New Roman" w:hAnsi="Times New Roman" w:cs="Times New Roman"/>
                <w:sz w:val="24"/>
                <w:szCs w:val="24"/>
              </w:rPr>
              <w:t>nepieciešams saskaņot ar Eiropas Centrālo banku.</w:t>
            </w:r>
          </w:p>
        </w:tc>
      </w:tr>
      <w:tr w:rsidR="000B4E0A" w:rsidRPr="00046FC6" w14:paraId="69B8778A" w14:textId="77777777" w:rsidTr="0045673B">
        <w:trPr>
          <w:trHeight w:val="567"/>
        </w:trPr>
        <w:tc>
          <w:tcPr>
            <w:tcW w:w="1483" w:type="pct"/>
            <w:shd w:val="clear" w:color="auto" w:fill="auto"/>
            <w:hideMark/>
          </w:tcPr>
          <w:p w14:paraId="1B89B617" w14:textId="22F5CF94" w:rsidR="00CA28AB" w:rsidRPr="00046FC6" w:rsidRDefault="00A42788" w:rsidP="0028031D">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Saskaņošana ar citām publiskām un privātām personām</w:t>
            </w:r>
          </w:p>
        </w:tc>
        <w:tc>
          <w:tcPr>
            <w:tcW w:w="3517" w:type="pct"/>
            <w:shd w:val="clear" w:color="auto" w:fill="auto"/>
          </w:tcPr>
          <w:p w14:paraId="7A6BE41A" w14:textId="323800A8" w:rsidR="00704729" w:rsidRDefault="00BC6039" w:rsidP="00F05564">
            <w:pPr>
              <w:spacing w:after="120" w:line="240" w:lineRule="auto"/>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szCs w:val="24"/>
                <w:lang w:eastAsia="lv-LV"/>
              </w:rPr>
              <w:t xml:space="preserve">Noteikumu projekts </w:t>
            </w:r>
            <w:r w:rsidR="00A7118E">
              <w:rPr>
                <w:rFonts w:ascii="Times New Roman" w:eastAsia="Times New Roman" w:hAnsi="Times New Roman" w:cs="Times New Roman"/>
                <w:sz w:val="24"/>
                <w:szCs w:val="24"/>
                <w:lang w:eastAsia="lv-LV"/>
              </w:rPr>
              <w:t>2024.</w:t>
            </w:r>
            <w:r w:rsidR="000E633E">
              <w:rPr>
                <w:rFonts w:ascii="Times New Roman" w:eastAsia="Times New Roman" w:hAnsi="Times New Roman" w:cs="Times New Roman"/>
                <w:sz w:val="24"/>
                <w:szCs w:val="24"/>
                <w:lang w:eastAsia="lv-LV"/>
              </w:rPr>
              <w:t> </w:t>
            </w:r>
            <w:r w:rsidR="00A7118E">
              <w:rPr>
                <w:rFonts w:ascii="Times New Roman" w:eastAsia="Times New Roman" w:hAnsi="Times New Roman" w:cs="Times New Roman"/>
                <w:sz w:val="24"/>
                <w:szCs w:val="24"/>
                <w:lang w:eastAsia="lv-LV"/>
              </w:rPr>
              <w:t>gada 28.</w:t>
            </w:r>
            <w:r w:rsidR="000E633E">
              <w:rPr>
                <w:rFonts w:ascii="Times New Roman" w:eastAsia="Times New Roman" w:hAnsi="Times New Roman" w:cs="Times New Roman"/>
                <w:sz w:val="24"/>
                <w:szCs w:val="24"/>
                <w:lang w:eastAsia="lv-LV"/>
              </w:rPr>
              <w:t> </w:t>
            </w:r>
            <w:r w:rsidR="00A7118E">
              <w:rPr>
                <w:rFonts w:ascii="Times New Roman" w:eastAsia="Times New Roman" w:hAnsi="Times New Roman" w:cs="Times New Roman"/>
                <w:sz w:val="24"/>
                <w:szCs w:val="24"/>
                <w:lang w:eastAsia="lv-LV"/>
              </w:rPr>
              <w:t xml:space="preserve">augustā </w:t>
            </w:r>
            <w:r w:rsidRPr="00046FC6">
              <w:rPr>
                <w:rFonts w:ascii="Times New Roman" w:eastAsia="Times New Roman" w:hAnsi="Times New Roman" w:cs="Times New Roman"/>
                <w:sz w:val="24"/>
                <w:szCs w:val="24"/>
                <w:lang w:eastAsia="lv-LV"/>
              </w:rPr>
              <w:t>tik</w:t>
            </w:r>
            <w:r w:rsidR="00A7118E">
              <w:rPr>
                <w:rFonts w:ascii="Times New Roman" w:eastAsia="Times New Roman" w:hAnsi="Times New Roman" w:cs="Times New Roman"/>
                <w:sz w:val="24"/>
                <w:szCs w:val="24"/>
                <w:lang w:eastAsia="lv-LV"/>
              </w:rPr>
              <w:t>a</w:t>
            </w:r>
            <w:r w:rsidRPr="00046FC6">
              <w:rPr>
                <w:rFonts w:ascii="Times New Roman" w:eastAsia="Times New Roman" w:hAnsi="Times New Roman" w:cs="Times New Roman"/>
                <w:sz w:val="24"/>
                <w:szCs w:val="24"/>
                <w:lang w:eastAsia="lv-LV"/>
              </w:rPr>
              <w:t xml:space="preserve"> publicēts Latvijas Bankas tīmekļvietnes www.bank.lv sadaļ</w:t>
            </w:r>
            <w:r w:rsidR="00844AA5" w:rsidRPr="00046FC6">
              <w:rPr>
                <w:rFonts w:ascii="Times New Roman" w:eastAsia="Times New Roman" w:hAnsi="Times New Roman" w:cs="Times New Roman"/>
                <w:sz w:val="24"/>
                <w:szCs w:val="24"/>
                <w:lang w:eastAsia="lv-LV"/>
              </w:rPr>
              <w:t>as "Tiesību akti" apakšsadaļā</w:t>
            </w:r>
            <w:r w:rsidRPr="00046FC6">
              <w:rPr>
                <w:rFonts w:ascii="Times New Roman" w:eastAsia="Times New Roman" w:hAnsi="Times New Roman" w:cs="Times New Roman"/>
                <w:sz w:val="24"/>
                <w:szCs w:val="24"/>
                <w:lang w:eastAsia="lv-LV"/>
              </w:rPr>
              <w:t xml:space="preserve"> "Sabiedrības līdzdalība", </w:t>
            </w:r>
            <w:r w:rsidR="00A7118E" w:rsidRPr="00A7118E">
              <w:rPr>
                <w:rFonts w:ascii="Times New Roman" w:eastAsia="Times New Roman" w:hAnsi="Times New Roman" w:cs="Times New Roman"/>
                <w:sz w:val="24"/>
                <w:szCs w:val="24"/>
                <w:lang w:eastAsia="lv-LV"/>
              </w:rPr>
              <w:t>aicinot priekšlikumus iesniegt līdz</w:t>
            </w:r>
            <w:r w:rsidR="00A7118E">
              <w:rPr>
                <w:rFonts w:ascii="Times New Roman" w:eastAsia="Times New Roman" w:hAnsi="Times New Roman" w:cs="Times New Roman"/>
                <w:sz w:val="24"/>
                <w:szCs w:val="24"/>
                <w:lang w:eastAsia="lv-LV"/>
              </w:rPr>
              <w:t xml:space="preserve"> 2024.</w:t>
            </w:r>
            <w:r w:rsidR="000E633E">
              <w:rPr>
                <w:rFonts w:ascii="Times New Roman" w:eastAsia="Times New Roman" w:hAnsi="Times New Roman" w:cs="Times New Roman"/>
                <w:sz w:val="24"/>
                <w:szCs w:val="24"/>
                <w:lang w:eastAsia="lv-LV"/>
              </w:rPr>
              <w:t> </w:t>
            </w:r>
            <w:r w:rsidR="00A7118E">
              <w:rPr>
                <w:rFonts w:ascii="Times New Roman" w:eastAsia="Times New Roman" w:hAnsi="Times New Roman" w:cs="Times New Roman"/>
                <w:sz w:val="24"/>
                <w:szCs w:val="24"/>
                <w:lang w:eastAsia="lv-LV"/>
              </w:rPr>
              <w:t>gada 11.</w:t>
            </w:r>
            <w:r w:rsidR="000E633E">
              <w:rPr>
                <w:rFonts w:ascii="Times New Roman" w:eastAsia="Times New Roman" w:hAnsi="Times New Roman" w:cs="Times New Roman"/>
                <w:sz w:val="24"/>
                <w:szCs w:val="24"/>
                <w:lang w:eastAsia="lv-LV"/>
              </w:rPr>
              <w:t> </w:t>
            </w:r>
            <w:r w:rsidR="00A7118E">
              <w:rPr>
                <w:rFonts w:ascii="Times New Roman" w:eastAsia="Times New Roman" w:hAnsi="Times New Roman" w:cs="Times New Roman"/>
                <w:sz w:val="24"/>
                <w:szCs w:val="24"/>
                <w:lang w:eastAsia="lv-LV"/>
              </w:rPr>
              <w:t>septembrim</w:t>
            </w:r>
            <w:r w:rsidR="00AB7629" w:rsidRPr="00046FC6">
              <w:rPr>
                <w:rFonts w:ascii="Times New Roman" w:eastAsia="Times New Roman" w:hAnsi="Times New Roman" w:cs="Times New Roman"/>
                <w:sz w:val="24"/>
                <w:szCs w:val="24"/>
                <w:lang w:eastAsia="lv-LV"/>
              </w:rPr>
              <w:t>.</w:t>
            </w:r>
          </w:p>
          <w:p w14:paraId="0D1B41D0" w14:textId="604B082B" w:rsidR="00F469CE" w:rsidRPr="00046FC6" w:rsidRDefault="00F469CE" w:rsidP="00F05564">
            <w:pPr>
              <w:spacing w:after="120" w:line="240" w:lineRule="auto"/>
              <w:jc w:val="both"/>
              <w:rPr>
                <w:rFonts w:ascii="Times New Roman" w:eastAsia="Times New Roman" w:hAnsi="Times New Roman" w:cs="Times New Roman"/>
                <w:sz w:val="24"/>
                <w:szCs w:val="24"/>
                <w:lang w:eastAsia="lv-LV"/>
              </w:rPr>
            </w:pPr>
            <w:r w:rsidRPr="00F469CE">
              <w:rPr>
                <w:rFonts w:ascii="Times New Roman" w:eastAsia="Times New Roman" w:hAnsi="Times New Roman" w:cs="Times New Roman"/>
                <w:sz w:val="24"/>
                <w:szCs w:val="24"/>
                <w:lang w:eastAsia="lv-LV"/>
              </w:rPr>
              <w:t>Vienlaikus par noteikumu projektu un notiekošo sabiedrības līdzdalību tika informēt</w:t>
            </w:r>
            <w:r w:rsidR="000E633E">
              <w:rPr>
                <w:rFonts w:ascii="Times New Roman" w:eastAsia="Times New Roman" w:hAnsi="Times New Roman" w:cs="Times New Roman"/>
                <w:sz w:val="24"/>
                <w:szCs w:val="24"/>
                <w:lang w:eastAsia="lv-LV"/>
              </w:rPr>
              <w:t>a</w:t>
            </w:r>
            <w:r w:rsidRPr="00F469C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Latvijas Finanšu nozares asociācija un visas ieguldījumu brokeru sabiedrības</w:t>
            </w:r>
            <w:r w:rsidRPr="00F469CE">
              <w:rPr>
                <w:rFonts w:ascii="Times New Roman" w:eastAsia="Times New Roman" w:hAnsi="Times New Roman" w:cs="Times New Roman"/>
                <w:sz w:val="24"/>
                <w:szCs w:val="24"/>
                <w:lang w:eastAsia="lv-LV"/>
              </w:rPr>
              <w:t>.</w:t>
            </w:r>
          </w:p>
        </w:tc>
      </w:tr>
      <w:tr w:rsidR="000B4E0A" w:rsidRPr="00046FC6" w14:paraId="12671EBA" w14:textId="77777777" w:rsidTr="0045673B">
        <w:trPr>
          <w:trHeight w:val="567"/>
        </w:trPr>
        <w:tc>
          <w:tcPr>
            <w:tcW w:w="1483" w:type="pct"/>
            <w:shd w:val="clear" w:color="auto" w:fill="auto"/>
            <w:hideMark/>
          </w:tcPr>
          <w:p w14:paraId="70368148" w14:textId="335882DA" w:rsidR="00CA28AB" w:rsidRPr="00046FC6" w:rsidRDefault="00A42788" w:rsidP="00C10CD5">
            <w:pPr>
              <w:spacing w:after="0" w:line="240" w:lineRule="auto"/>
              <w:rPr>
                <w:rFonts w:ascii="Times New Roman" w:eastAsia="Times New Roman" w:hAnsi="Times New Roman" w:cs="Times New Roman"/>
                <w:b/>
                <w:bCs/>
                <w:sz w:val="24"/>
                <w:szCs w:val="24"/>
                <w:lang w:eastAsia="lv-LV"/>
              </w:rPr>
            </w:pPr>
            <w:r w:rsidRPr="00046FC6">
              <w:rPr>
                <w:rFonts w:ascii="Times New Roman" w:eastAsia="Times New Roman" w:hAnsi="Times New Roman" w:cs="Times New Roman"/>
                <w:b/>
                <w:bCs/>
                <w:sz w:val="24"/>
                <w:szCs w:val="24"/>
                <w:lang w:eastAsia="lv-LV"/>
              </w:rPr>
              <w:t>Saskaņošanas rezultāti</w:t>
            </w:r>
          </w:p>
        </w:tc>
        <w:tc>
          <w:tcPr>
            <w:tcW w:w="3517" w:type="pct"/>
            <w:shd w:val="clear" w:color="auto" w:fill="auto"/>
          </w:tcPr>
          <w:p w14:paraId="760AABA0" w14:textId="3FA8A79F" w:rsidR="00E53DE9" w:rsidRPr="00046FC6" w:rsidRDefault="00A7118E" w:rsidP="00F05564">
            <w:pPr>
              <w:spacing w:after="120" w:line="240" w:lineRule="auto"/>
              <w:rPr>
                <w:rFonts w:ascii="Times New Roman" w:eastAsia="Times New Roman" w:hAnsi="Times New Roman" w:cs="Times New Roman"/>
                <w:sz w:val="24"/>
                <w:szCs w:val="24"/>
                <w:lang w:eastAsia="lv-LV"/>
              </w:rPr>
            </w:pPr>
            <w:r w:rsidRPr="00A7118E">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73F71BD3" w14:textId="2A1303DF" w:rsidR="00B07C82" w:rsidRPr="00046FC6" w:rsidRDefault="00B07C82" w:rsidP="0049248A">
      <w:pPr>
        <w:spacing w:after="0" w:line="240" w:lineRule="auto"/>
        <w:rPr>
          <w:rFonts w:ascii="Times New Roman" w:hAnsi="Times New Roman" w:cs="Times New Roman"/>
          <w:sz w:val="24"/>
          <w:szCs w:val="24"/>
        </w:rPr>
      </w:pPr>
    </w:p>
    <w:p w14:paraId="36883FD4" w14:textId="77777777" w:rsidR="00B07C82" w:rsidRPr="00046FC6" w:rsidRDefault="00B07C82">
      <w:pPr>
        <w:rPr>
          <w:rFonts w:ascii="Times New Roman" w:hAnsi="Times New Roman" w:cs="Times New Roman"/>
          <w:sz w:val="24"/>
          <w:szCs w:val="24"/>
        </w:rPr>
      </w:pPr>
      <w:r w:rsidRPr="00046FC6">
        <w:rPr>
          <w:rFonts w:ascii="Times New Roman" w:hAnsi="Times New Roman" w:cs="Times New Roman"/>
          <w:sz w:val="24"/>
          <w:szCs w:val="24"/>
        </w:rPr>
        <w:br w:type="page"/>
      </w:r>
    </w:p>
    <w:p w14:paraId="4F748D89" w14:textId="0D3F1E7C" w:rsidR="00B07C82" w:rsidRPr="00046FC6" w:rsidRDefault="00C079FF" w:rsidP="00B07C82">
      <w:pPr>
        <w:tabs>
          <w:tab w:val="decimal" w:pos="426"/>
        </w:tabs>
        <w:spacing w:after="0" w:line="240" w:lineRule="auto"/>
        <w:jc w:val="right"/>
        <w:rPr>
          <w:rFonts w:ascii="Times New Roman" w:eastAsia="Times New Roman" w:hAnsi="Times New Roman" w:cs="Times New Roman"/>
          <w:bCs/>
          <w:sz w:val="24"/>
          <w:szCs w:val="24"/>
          <w:lang w:eastAsia="lv-LV"/>
        </w:rPr>
      </w:pPr>
      <w:bookmarkStart w:id="6" w:name="_Hlk174006416"/>
      <w:r w:rsidRPr="00046FC6">
        <w:rPr>
          <w:rFonts w:ascii="Times New Roman" w:eastAsia="Times New Roman" w:hAnsi="Times New Roman" w:cs="Times New Roman"/>
          <w:bCs/>
          <w:sz w:val="24"/>
          <w:szCs w:val="24"/>
          <w:lang w:eastAsia="lv-LV"/>
        </w:rPr>
        <w:lastRenderedPageBreak/>
        <w:t>1. p</w:t>
      </w:r>
      <w:r w:rsidR="00B07C82" w:rsidRPr="00046FC6">
        <w:rPr>
          <w:rFonts w:ascii="Times New Roman" w:eastAsia="Times New Roman" w:hAnsi="Times New Roman" w:cs="Times New Roman"/>
          <w:bCs/>
          <w:sz w:val="24"/>
          <w:szCs w:val="24"/>
          <w:lang w:eastAsia="lv-LV"/>
        </w:rPr>
        <w:t>ielikums</w:t>
      </w:r>
    </w:p>
    <w:p w14:paraId="48766857" w14:textId="718B722E" w:rsidR="00BB7D3A" w:rsidRPr="00046FC6" w:rsidRDefault="00BB7D3A" w:rsidP="00B07C82">
      <w:pPr>
        <w:tabs>
          <w:tab w:val="decimal" w:pos="426"/>
        </w:tabs>
        <w:spacing w:after="0" w:line="240" w:lineRule="auto"/>
        <w:jc w:val="right"/>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Bankas noteikumu projekta anotācijai</w:t>
      </w:r>
    </w:p>
    <w:bookmarkEnd w:id="6"/>
    <w:p w14:paraId="45669D88" w14:textId="77777777" w:rsidR="00B07C82" w:rsidRPr="00046FC6" w:rsidRDefault="00B07C82" w:rsidP="00220999">
      <w:pPr>
        <w:tabs>
          <w:tab w:val="decimal" w:pos="426"/>
        </w:tabs>
        <w:spacing w:after="120" w:line="240" w:lineRule="auto"/>
        <w:rPr>
          <w:rFonts w:ascii="Times New Roman" w:eastAsia="Times New Roman" w:hAnsi="Times New Roman" w:cs="Times New Roman"/>
          <w:b/>
          <w:sz w:val="24"/>
          <w:szCs w:val="24"/>
          <w:lang w:eastAsia="lv-LV"/>
        </w:rPr>
      </w:pPr>
    </w:p>
    <w:p w14:paraId="0CB63F4E" w14:textId="48C1F57C" w:rsidR="00B07C82" w:rsidRPr="00046FC6" w:rsidRDefault="00B07C82" w:rsidP="00046FC6">
      <w:pPr>
        <w:tabs>
          <w:tab w:val="decimal" w:pos="426"/>
        </w:tabs>
        <w:spacing w:after="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 xml:space="preserve">Pierādījumi </w:t>
      </w:r>
      <w:bookmarkStart w:id="7" w:name="_Hlk174716789"/>
      <w:r w:rsidRPr="00046FC6">
        <w:rPr>
          <w:rFonts w:ascii="Times New Roman" w:eastAsia="Times New Roman" w:hAnsi="Times New Roman" w:cs="Times New Roman"/>
          <w:b/>
          <w:sz w:val="24"/>
          <w:szCs w:val="24"/>
          <w:lang w:eastAsia="lv-LV"/>
        </w:rPr>
        <w:t>Regulas Nr. 600/2014</w:t>
      </w:r>
      <w:bookmarkEnd w:id="7"/>
      <w:r w:rsidRPr="00046FC6">
        <w:rPr>
          <w:rFonts w:ascii="Times New Roman" w:eastAsia="Times New Roman" w:hAnsi="Times New Roman" w:cs="Times New Roman"/>
          <w:b/>
          <w:sz w:val="24"/>
          <w:szCs w:val="24"/>
          <w:lang w:eastAsia="lv-LV"/>
        </w:rPr>
        <w:t xml:space="preserve"> 42. panta 2. punkta </w:t>
      </w:r>
      <w:r w:rsidR="00D852BC" w:rsidRPr="00046FC6">
        <w:rPr>
          <w:rFonts w:ascii="Times New Roman" w:eastAsia="Times New Roman" w:hAnsi="Times New Roman" w:cs="Times New Roman"/>
          <w:b/>
          <w:sz w:val="24"/>
          <w:szCs w:val="24"/>
          <w:lang w:eastAsia="lv-LV"/>
        </w:rPr>
        <w:t xml:space="preserve">un Deleģētās regulas Nr. 2017/567 21. panta </w:t>
      </w:r>
      <w:r w:rsidRPr="00046FC6">
        <w:rPr>
          <w:rFonts w:ascii="Times New Roman" w:eastAsia="Times New Roman" w:hAnsi="Times New Roman" w:cs="Times New Roman"/>
          <w:b/>
          <w:sz w:val="24"/>
          <w:szCs w:val="24"/>
          <w:lang w:eastAsia="lv-LV"/>
        </w:rPr>
        <w:t>nosacījum</w:t>
      </w:r>
      <w:r w:rsidR="00D852BC" w:rsidRPr="00046FC6">
        <w:rPr>
          <w:rFonts w:ascii="Times New Roman" w:eastAsia="Times New Roman" w:hAnsi="Times New Roman" w:cs="Times New Roman"/>
          <w:b/>
          <w:sz w:val="24"/>
          <w:szCs w:val="24"/>
          <w:lang w:eastAsia="lv-LV"/>
        </w:rPr>
        <w:t xml:space="preserve">u izpildei attiecībā uz prasībām </w:t>
      </w:r>
      <w:r w:rsidRPr="00046FC6">
        <w:rPr>
          <w:rFonts w:ascii="Times New Roman" w:eastAsia="Times New Roman" w:hAnsi="Times New Roman" w:cs="Times New Roman"/>
          <w:b/>
          <w:sz w:val="24"/>
          <w:szCs w:val="24"/>
          <w:lang w:eastAsia="lv-LV"/>
        </w:rPr>
        <w:t>bināro iespēju līgum</w:t>
      </w:r>
      <w:r w:rsidR="00D852BC" w:rsidRPr="00046FC6">
        <w:rPr>
          <w:rFonts w:ascii="Times New Roman" w:eastAsia="Times New Roman" w:hAnsi="Times New Roman" w:cs="Times New Roman"/>
          <w:b/>
          <w:sz w:val="24"/>
          <w:szCs w:val="24"/>
          <w:lang w:eastAsia="lv-LV"/>
        </w:rPr>
        <w:t>iem</w:t>
      </w:r>
    </w:p>
    <w:p w14:paraId="46A73F18" w14:textId="77777777" w:rsidR="00B07C82" w:rsidRPr="00046FC6" w:rsidRDefault="00B07C82" w:rsidP="00046FC6">
      <w:pPr>
        <w:tabs>
          <w:tab w:val="decimal" w:pos="426"/>
        </w:tabs>
        <w:spacing w:after="0" w:line="240" w:lineRule="auto"/>
        <w:jc w:val="right"/>
        <w:rPr>
          <w:rFonts w:ascii="Times New Roman" w:eastAsia="Times New Roman" w:hAnsi="Times New Roman" w:cs="Times New Roman"/>
          <w:b/>
          <w:sz w:val="24"/>
          <w:szCs w:val="24"/>
          <w:lang w:eastAsia="lv-LV"/>
        </w:rPr>
      </w:pPr>
    </w:p>
    <w:p w14:paraId="192C588F" w14:textId="1DBB9123" w:rsidR="00B07C82" w:rsidRPr="00046FC6" w:rsidRDefault="0058480F"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Noteikumu projekts</w:t>
      </w:r>
      <w:r w:rsidR="00B07C82" w:rsidRPr="00046FC6">
        <w:rPr>
          <w:rFonts w:ascii="Times New Roman" w:eastAsia="Times New Roman" w:hAnsi="Times New Roman" w:cs="Times New Roman"/>
          <w:sz w:val="24"/>
          <w:lang w:eastAsia="lv-LV"/>
        </w:rPr>
        <w:t xml:space="preserve"> ievieš produktu intervences prasības nacionālā līmenī, kuru būtība un tvērums atspoguļo </w:t>
      </w:r>
      <w:r w:rsidR="00B07C82" w:rsidRPr="00046FC6">
        <w:rPr>
          <w:rFonts w:ascii="Times New Roman" w:eastAsia="Times New Roman" w:hAnsi="Times New Roman" w:cs="Times New Roman"/>
          <w:sz w:val="24"/>
          <w:szCs w:val="24"/>
          <w:lang w:eastAsia="lv-LV"/>
        </w:rPr>
        <w:t xml:space="preserve">EVTI 2018. gada 2. jūlijā uz </w:t>
      </w:r>
      <w:r w:rsidR="007B6ADE" w:rsidRPr="00046FC6">
        <w:rPr>
          <w:rFonts w:ascii="Times New Roman" w:eastAsia="Times New Roman" w:hAnsi="Times New Roman" w:cs="Times New Roman"/>
          <w:sz w:val="24"/>
          <w:szCs w:val="24"/>
          <w:lang w:eastAsia="lv-LV"/>
        </w:rPr>
        <w:t>trim</w:t>
      </w:r>
      <w:r w:rsidR="00B07C82" w:rsidRPr="00046FC6">
        <w:rPr>
          <w:rFonts w:ascii="Times New Roman" w:eastAsia="Times New Roman" w:hAnsi="Times New Roman" w:cs="Times New Roman"/>
          <w:sz w:val="24"/>
          <w:szCs w:val="24"/>
          <w:lang w:eastAsia="lv-LV"/>
        </w:rPr>
        <w:t> mēnešiem noteikto pagaidu aizliegumu bināro iespēju līgumu tirdzniecībai, izplatīšanai vai pārdošanai privātiem klientiem</w:t>
      </w:r>
      <w:r w:rsidR="00B07C82" w:rsidRPr="00046FC6">
        <w:rPr>
          <w:rFonts w:ascii="Times New Roman" w:eastAsia="Times New Roman" w:hAnsi="Times New Roman" w:cs="Times New Roman"/>
          <w:sz w:val="24"/>
          <w:vertAlign w:val="superscript"/>
          <w:lang w:eastAsia="lv-LV"/>
        </w:rPr>
        <w:footnoteReference w:id="12"/>
      </w:r>
      <w:r w:rsidR="00B151D1" w:rsidRPr="00046FC6">
        <w:rPr>
          <w:rFonts w:ascii="Times New Roman" w:eastAsia="Times New Roman" w:hAnsi="Times New Roman" w:cs="Times New Roman"/>
          <w:sz w:val="24"/>
          <w:szCs w:val="24"/>
          <w:lang w:eastAsia="lv-LV"/>
        </w:rPr>
        <w:t xml:space="preserve"> un</w:t>
      </w:r>
      <w:r w:rsidR="00B07C82" w:rsidRPr="00046FC6">
        <w:rPr>
          <w:rFonts w:ascii="Times New Roman" w:eastAsia="Times New Roman" w:hAnsi="Times New Roman" w:cs="Times New Roman"/>
          <w:sz w:val="24"/>
          <w:szCs w:val="24"/>
          <w:lang w:eastAsia="lv-LV"/>
        </w:rPr>
        <w:t xml:space="preserve"> EVTI 2018. gada 2. oktobrī</w:t>
      </w:r>
      <w:r w:rsidR="00B07C82" w:rsidRPr="00046FC6">
        <w:rPr>
          <w:rFonts w:ascii="Times New Roman" w:eastAsia="Times New Roman" w:hAnsi="Times New Roman" w:cs="Times New Roman"/>
          <w:sz w:val="24"/>
          <w:vertAlign w:val="superscript"/>
          <w:lang w:eastAsia="lv-LV"/>
        </w:rPr>
        <w:footnoteReference w:id="13"/>
      </w:r>
      <w:r w:rsidR="00B07C82" w:rsidRPr="00046FC6">
        <w:rPr>
          <w:rFonts w:ascii="Times New Roman" w:eastAsia="Times New Roman" w:hAnsi="Times New Roman" w:cs="Times New Roman"/>
          <w:sz w:val="24"/>
          <w:szCs w:val="24"/>
          <w:lang w:eastAsia="lv-LV"/>
        </w:rPr>
        <w:t>, 2019. gada 2. janvārī</w:t>
      </w:r>
      <w:r w:rsidR="00B07C82" w:rsidRPr="00046FC6">
        <w:rPr>
          <w:rFonts w:ascii="Times New Roman" w:eastAsia="Times New Roman" w:hAnsi="Times New Roman" w:cs="Times New Roman"/>
          <w:sz w:val="24"/>
          <w:vertAlign w:val="superscript"/>
          <w:lang w:eastAsia="lv-LV"/>
        </w:rPr>
        <w:footnoteReference w:id="14"/>
      </w:r>
      <w:r w:rsidR="00B07C82" w:rsidRPr="00046FC6">
        <w:rPr>
          <w:rFonts w:ascii="Times New Roman" w:eastAsia="Times New Roman" w:hAnsi="Times New Roman" w:cs="Times New Roman"/>
          <w:sz w:val="24"/>
          <w:szCs w:val="24"/>
          <w:lang w:eastAsia="lv-LV"/>
        </w:rPr>
        <w:t xml:space="preserve"> un 2019. gada 2. aprīlī</w:t>
      </w:r>
      <w:r w:rsidR="00B07C82" w:rsidRPr="00046FC6">
        <w:rPr>
          <w:rFonts w:ascii="Times New Roman" w:eastAsia="Times New Roman" w:hAnsi="Times New Roman" w:cs="Times New Roman"/>
          <w:sz w:val="24"/>
          <w:vertAlign w:val="superscript"/>
          <w:lang w:eastAsia="lv-LV"/>
        </w:rPr>
        <w:footnoteReference w:id="15"/>
      </w:r>
      <w:r w:rsidR="00B07C82" w:rsidRPr="00046FC6">
        <w:rPr>
          <w:rFonts w:ascii="Times New Roman" w:eastAsia="Times New Roman" w:hAnsi="Times New Roman" w:cs="Times New Roman"/>
          <w:sz w:val="24"/>
          <w:szCs w:val="24"/>
          <w:lang w:eastAsia="lv-LV"/>
        </w:rPr>
        <w:t xml:space="preserve"> uz </w:t>
      </w:r>
      <w:r w:rsidR="007B6ADE" w:rsidRPr="00046FC6">
        <w:rPr>
          <w:rFonts w:ascii="Times New Roman" w:eastAsia="Times New Roman" w:hAnsi="Times New Roman" w:cs="Times New Roman"/>
          <w:sz w:val="24"/>
          <w:szCs w:val="24"/>
          <w:lang w:eastAsia="lv-LV"/>
        </w:rPr>
        <w:t>trim</w:t>
      </w:r>
      <w:r w:rsidR="00B07C82" w:rsidRPr="00046FC6">
        <w:rPr>
          <w:rFonts w:ascii="Times New Roman" w:eastAsia="Times New Roman" w:hAnsi="Times New Roman" w:cs="Times New Roman"/>
          <w:sz w:val="24"/>
          <w:szCs w:val="24"/>
          <w:lang w:eastAsia="lv-LV"/>
        </w:rPr>
        <w:t> mēnešiem atjaunotos pagaidu aizliegumus bināro iespēju līgumu tirdzniecībai, izplatīšanai vai pārdošanai privātiem klientiem</w:t>
      </w:r>
      <w:r w:rsidR="0057452A" w:rsidRPr="00046FC6">
        <w:rPr>
          <w:rFonts w:ascii="Times New Roman" w:eastAsia="Times New Roman" w:hAnsi="Times New Roman" w:cs="Times New Roman"/>
          <w:sz w:val="24"/>
          <w:szCs w:val="24"/>
          <w:lang w:eastAsia="lv-LV"/>
        </w:rPr>
        <w:t xml:space="preserve"> (turpmāk – </w:t>
      </w:r>
      <w:r w:rsidR="0057452A" w:rsidRPr="00046FC6">
        <w:rPr>
          <w:rFonts w:ascii="Times New Roman" w:eastAsia="Times New Roman" w:hAnsi="Times New Roman" w:cs="Times New Roman"/>
          <w:sz w:val="24"/>
          <w:lang w:eastAsia="lv-LV"/>
        </w:rPr>
        <w:t xml:space="preserve">EVTI bināro </w:t>
      </w:r>
      <w:r w:rsidR="0057452A" w:rsidRPr="00046FC6">
        <w:rPr>
          <w:rFonts w:ascii="Times New Roman" w:eastAsia="Times New Roman" w:hAnsi="Times New Roman" w:cs="Times New Roman"/>
          <w:sz w:val="24"/>
          <w:szCs w:val="24"/>
          <w:lang w:eastAsia="lv-LV"/>
        </w:rPr>
        <w:t xml:space="preserve">iespēju līgumu </w:t>
      </w:r>
      <w:r w:rsidR="0057452A" w:rsidRPr="00046FC6">
        <w:rPr>
          <w:rFonts w:ascii="Times New Roman" w:eastAsia="Times New Roman" w:hAnsi="Times New Roman" w:cs="Times New Roman"/>
          <w:sz w:val="24"/>
          <w:lang w:eastAsia="lv-LV"/>
        </w:rPr>
        <w:t>intervences lēmumi</w:t>
      </w:r>
      <w:r w:rsidR="0057452A" w:rsidRPr="00046FC6">
        <w:rPr>
          <w:rFonts w:ascii="Times New Roman" w:eastAsia="Times New Roman" w:hAnsi="Times New Roman" w:cs="Times New Roman"/>
          <w:sz w:val="24"/>
          <w:szCs w:val="24"/>
          <w:lang w:eastAsia="lv-LV"/>
        </w:rPr>
        <w:t>)</w:t>
      </w:r>
      <w:r w:rsidR="00B07C82" w:rsidRPr="00046FC6">
        <w:rPr>
          <w:rFonts w:ascii="Times New Roman" w:eastAsia="Times New Roman" w:hAnsi="Times New Roman" w:cs="Times New Roman"/>
          <w:sz w:val="24"/>
          <w:szCs w:val="24"/>
          <w:lang w:eastAsia="lv-LV"/>
        </w:rPr>
        <w:t xml:space="preserve">, </w:t>
      </w:r>
      <w:r w:rsidR="00B07C82" w:rsidRPr="00046FC6">
        <w:rPr>
          <w:rFonts w:ascii="Times New Roman" w:eastAsia="Times New Roman" w:hAnsi="Times New Roman" w:cs="Times New Roman"/>
          <w:sz w:val="24"/>
          <w:lang w:eastAsia="lv-LV"/>
        </w:rPr>
        <w:t xml:space="preserve">ko uz laiku piemēroja visās dalībvalstīs. Liela daļa no </w:t>
      </w:r>
      <w:r w:rsidR="00B07C82" w:rsidRPr="00046FC6">
        <w:rPr>
          <w:rFonts w:ascii="Times New Roman" w:eastAsia="Times New Roman" w:hAnsi="Times New Roman" w:cs="Times New Roman"/>
          <w:sz w:val="24"/>
          <w:szCs w:val="24"/>
          <w:lang w:eastAsia="lv-LV"/>
        </w:rPr>
        <w:t xml:space="preserve">EVTI </w:t>
      </w:r>
      <w:r w:rsidR="00B07C82" w:rsidRPr="00046FC6">
        <w:rPr>
          <w:rFonts w:ascii="Times New Roman" w:eastAsia="Times New Roman" w:hAnsi="Times New Roman" w:cs="Times New Roman"/>
          <w:sz w:val="24"/>
          <w:lang w:eastAsia="lv-LV"/>
        </w:rPr>
        <w:t xml:space="preserve">apsvērumiem saistībā ar bināro </w:t>
      </w:r>
      <w:r w:rsidR="00B07C82" w:rsidRPr="00046FC6">
        <w:rPr>
          <w:rFonts w:ascii="Times New Roman" w:eastAsia="Times New Roman" w:hAnsi="Times New Roman" w:cs="Times New Roman"/>
          <w:sz w:val="24"/>
          <w:szCs w:val="24"/>
          <w:lang w:eastAsia="lv-LV"/>
        </w:rPr>
        <w:t xml:space="preserve">iespēju līgumu </w:t>
      </w:r>
      <w:r w:rsidR="00B07C82" w:rsidRPr="00046FC6">
        <w:rPr>
          <w:rFonts w:ascii="Times New Roman" w:eastAsia="Times New Roman" w:hAnsi="Times New Roman" w:cs="Times New Roman"/>
          <w:sz w:val="24"/>
          <w:lang w:eastAsia="lv-LV"/>
        </w:rPr>
        <w:t>intervenci attiecas uz š</w:t>
      </w:r>
      <w:r w:rsidR="00C719F3" w:rsidRPr="00046FC6">
        <w:rPr>
          <w:rFonts w:ascii="Times New Roman" w:eastAsia="Times New Roman" w:hAnsi="Times New Roman" w:cs="Times New Roman"/>
          <w:sz w:val="24"/>
          <w:lang w:eastAsia="lv-LV"/>
        </w:rPr>
        <w:t>ā</w:t>
      </w:r>
      <w:r w:rsidR="00B07C82" w:rsidRPr="00046FC6">
        <w:rPr>
          <w:rFonts w:ascii="Times New Roman" w:eastAsia="Times New Roman" w:hAnsi="Times New Roman" w:cs="Times New Roman"/>
          <w:sz w:val="24"/>
          <w:lang w:eastAsia="lv-LV"/>
        </w:rPr>
        <w:t xml:space="preserve"> instrumenta iezīmēm un būtību. Šie apsvērumi ir vienlīdz būtiski Latvijas Bankas pašas veiktajai analīzei. Latvijas Banka cieši sadarbojās ar EVTI, analizējot un novērtējot pierādījumus, kas bija EVTI bināro </w:t>
      </w:r>
      <w:r w:rsidR="00B07C82" w:rsidRPr="00046FC6">
        <w:rPr>
          <w:rFonts w:ascii="Times New Roman" w:eastAsia="Times New Roman" w:hAnsi="Times New Roman" w:cs="Times New Roman"/>
          <w:sz w:val="24"/>
          <w:szCs w:val="24"/>
          <w:lang w:eastAsia="lv-LV"/>
        </w:rPr>
        <w:t xml:space="preserve">iespēju līgumu </w:t>
      </w:r>
      <w:r w:rsidR="00B07C82" w:rsidRPr="00046FC6">
        <w:rPr>
          <w:rFonts w:ascii="Times New Roman" w:eastAsia="Times New Roman" w:hAnsi="Times New Roman" w:cs="Times New Roman"/>
          <w:sz w:val="24"/>
          <w:lang w:eastAsia="lv-LV"/>
        </w:rPr>
        <w:t>intervences pamatā, un ir izvērtējusi EVTI apkopotos pierādījumus.</w:t>
      </w:r>
    </w:p>
    <w:p w14:paraId="307FD8C7" w14:textId="6F0B7F6E" w:rsidR="00B07C82" w:rsidRPr="00046FC6" w:rsidRDefault="00B07C82"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 xml:space="preserve">Latvijas Bankas novērtējums par </w:t>
      </w:r>
      <w:r w:rsidR="00C719F3" w:rsidRPr="00046FC6">
        <w:rPr>
          <w:rFonts w:ascii="Times New Roman" w:eastAsia="Times New Roman" w:hAnsi="Times New Roman" w:cs="Times New Roman"/>
          <w:sz w:val="24"/>
          <w:lang w:eastAsia="lv-LV"/>
        </w:rPr>
        <w:t xml:space="preserve">noteikumu projekta atbilstību </w:t>
      </w:r>
      <w:r w:rsidR="00976D99" w:rsidRPr="00046FC6">
        <w:rPr>
          <w:rFonts w:ascii="Times New Roman" w:eastAsia="Times New Roman" w:hAnsi="Times New Roman" w:cs="Times New Roman"/>
          <w:sz w:val="24"/>
          <w:lang w:eastAsia="lv-LV"/>
        </w:rPr>
        <w:t xml:space="preserve">Regulas Nr. 600/2014 </w:t>
      </w:r>
      <w:r w:rsidRPr="00046FC6">
        <w:rPr>
          <w:rFonts w:ascii="Times New Roman" w:eastAsia="Times New Roman" w:hAnsi="Times New Roman" w:cs="Times New Roman"/>
          <w:sz w:val="24"/>
          <w:lang w:eastAsia="lv-LV"/>
        </w:rPr>
        <w:t>42.</w:t>
      </w:r>
      <w:r w:rsidR="00976D99"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panta 2. punktā minētajiem kritērijiem balstās uz analīzi</w:t>
      </w:r>
      <w:r w:rsidR="00C719F3" w:rsidRPr="00046FC6">
        <w:rPr>
          <w:rFonts w:ascii="Times New Roman" w:eastAsia="Times New Roman" w:hAnsi="Times New Roman" w:cs="Times New Roman"/>
          <w:sz w:val="24"/>
          <w:lang w:eastAsia="lv-LV"/>
        </w:rPr>
        <w:t xml:space="preserve"> un pierādījumiem</w:t>
      </w:r>
      <w:r w:rsidRPr="00046FC6">
        <w:rPr>
          <w:rFonts w:ascii="Times New Roman" w:eastAsia="Times New Roman" w:hAnsi="Times New Roman" w:cs="Times New Roman"/>
          <w:sz w:val="24"/>
          <w:lang w:eastAsia="lv-LV"/>
        </w:rPr>
        <w:t>, k</w:t>
      </w:r>
      <w:r w:rsidR="00C719F3" w:rsidRPr="00046FC6">
        <w:rPr>
          <w:rFonts w:ascii="Times New Roman" w:eastAsia="Times New Roman" w:hAnsi="Times New Roman" w:cs="Times New Roman"/>
          <w:sz w:val="24"/>
          <w:lang w:eastAsia="lv-LV"/>
        </w:rPr>
        <w:t>urus</w:t>
      </w:r>
      <w:r w:rsidRPr="00046FC6">
        <w:rPr>
          <w:rFonts w:ascii="Times New Roman" w:eastAsia="Times New Roman" w:hAnsi="Times New Roman" w:cs="Times New Roman"/>
          <w:sz w:val="24"/>
          <w:lang w:eastAsia="lv-LV"/>
        </w:rPr>
        <w:t xml:space="preserve"> EVTI ir ieguvusi, novērtējot atbilstību </w:t>
      </w:r>
      <w:r w:rsidR="00976D99" w:rsidRPr="00046FC6">
        <w:rPr>
          <w:rFonts w:ascii="Times New Roman" w:eastAsia="Times New Roman" w:hAnsi="Times New Roman" w:cs="Times New Roman"/>
          <w:sz w:val="24"/>
          <w:lang w:eastAsia="lv-LV"/>
        </w:rPr>
        <w:t xml:space="preserve">Regulas Nr. 600/2014 </w:t>
      </w:r>
      <w:r w:rsidRPr="00046FC6">
        <w:rPr>
          <w:rFonts w:ascii="Times New Roman" w:eastAsia="Times New Roman" w:hAnsi="Times New Roman" w:cs="Times New Roman"/>
          <w:sz w:val="24"/>
          <w:lang w:eastAsia="lv-LV"/>
        </w:rPr>
        <w:t>40.</w:t>
      </w:r>
      <w:r w:rsidR="00976D99"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panta 2.</w:t>
      </w:r>
      <w:r w:rsidR="00976D99"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punkta nosacījumiem. Tas ietver pierādījumus un analīzi, kas izklāstīta:</w:t>
      </w:r>
    </w:p>
    <w:p w14:paraId="33AC2781" w14:textId="3065F0F3" w:rsidR="00B07C82" w:rsidRPr="00046FC6" w:rsidRDefault="00B07C82" w:rsidP="00220999">
      <w:pPr>
        <w:tabs>
          <w:tab w:val="decimal" w:pos="426"/>
        </w:tabs>
        <w:spacing w:after="120" w:line="240" w:lineRule="auto"/>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a</w:t>
      </w:r>
      <w:r w:rsidR="00976D99"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sz w:val="24"/>
          <w:lang w:eastAsia="lv-LV"/>
        </w:rPr>
        <w:t xml:space="preserve">EVTI bināro </w:t>
      </w:r>
      <w:r w:rsidRPr="00046FC6">
        <w:rPr>
          <w:rFonts w:ascii="Times New Roman" w:eastAsia="Times New Roman" w:hAnsi="Times New Roman" w:cs="Times New Roman"/>
          <w:sz w:val="24"/>
          <w:szCs w:val="24"/>
          <w:lang w:eastAsia="lv-LV"/>
        </w:rPr>
        <w:t xml:space="preserve">iespēju līgumu </w:t>
      </w:r>
      <w:r w:rsidRPr="00046FC6">
        <w:rPr>
          <w:rFonts w:ascii="Times New Roman" w:eastAsia="Times New Roman" w:hAnsi="Times New Roman" w:cs="Times New Roman"/>
          <w:sz w:val="24"/>
          <w:lang w:eastAsia="lv-LV"/>
        </w:rPr>
        <w:t>intervences lēmumo</w:t>
      </w:r>
      <w:r w:rsidR="0057452A" w:rsidRPr="00046FC6">
        <w:rPr>
          <w:rFonts w:ascii="Times New Roman" w:eastAsia="Times New Roman" w:hAnsi="Times New Roman" w:cs="Times New Roman"/>
          <w:sz w:val="24"/>
          <w:lang w:eastAsia="lv-LV"/>
        </w:rPr>
        <w:t>s</w:t>
      </w:r>
      <w:r w:rsidRPr="00046FC6">
        <w:rPr>
          <w:rFonts w:ascii="Times New Roman" w:eastAsia="Times New Roman" w:hAnsi="Times New Roman" w:cs="Times New Roman"/>
          <w:sz w:val="24"/>
          <w:lang w:eastAsia="lv-LV"/>
        </w:rPr>
        <w:t>, kuros ir izklāstīti pierādījumi no visām dalībvalstīm saistībā ar bināro iespēju līgumu pārdošanu privātajiem klientiem pārrobežu mērogā;</w:t>
      </w:r>
    </w:p>
    <w:p w14:paraId="6E745834" w14:textId="2F294E10" w:rsidR="00B07C82" w:rsidRPr="00046FC6" w:rsidRDefault="00B07C82" w:rsidP="00220999">
      <w:pPr>
        <w:tabs>
          <w:tab w:val="decimal" w:pos="426"/>
        </w:tabs>
        <w:spacing w:after="120" w:line="240" w:lineRule="auto"/>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b</w:t>
      </w:r>
      <w:r w:rsidR="00976D99"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sz w:val="24"/>
          <w:lang w:eastAsia="lv-LV"/>
        </w:rPr>
        <w:t xml:space="preserve">EVTI veiktajā </w:t>
      </w:r>
      <w:r w:rsidR="00AE1368" w:rsidRPr="00046FC6">
        <w:rPr>
          <w:rFonts w:ascii="Times New Roman" w:eastAsia="Times New Roman" w:hAnsi="Times New Roman" w:cs="Times New Roman"/>
          <w:sz w:val="24"/>
          <w:lang w:eastAsia="lv-LV"/>
        </w:rPr>
        <w:t>p</w:t>
      </w:r>
      <w:r w:rsidRPr="00046FC6">
        <w:rPr>
          <w:rFonts w:ascii="Times New Roman" w:eastAsia="Times New Roman" w:hAnsi="Times New Roman" w:cs="Times New Roman"/>
          <w:sz w:val="24"/>
          <w:lang w:eastAsia="lv-LV"/>
        </w:rPr>
        <w:t>roduktu intervences analīzē attiecībā uz binār</w:t>
      </w:r>
      <w:r w:rsidR="00AE1368" w:rsidRPr="00046FC6">
        <w:rPr>
          <w:rFonts w:ascii="Times New Roman" w:eastAsia="Times New Roman" w:hAnsi="Times New Roman" w:cs="Times New Roman"/>
          <w:sz w:val="24"/>
          <w:lang w:eastAsia="lv-LV"/>
        </w:rPr>
        <w:t>o</w:t>
      </w:r>
      <w:r w:rsidRPr="00046FC6">
        <w:rPr>
          <w:rFonts w:ascii="Times New Roman" w:eastAsia="Times New Roman" w:hAnsi="Times New Roman" w:cs="Times New Roman"/>
          <w:sz w:val="24"/>
          <w:lang w:eastAsia="lv-LV"/>
        </w:rPr>
        <w:t xml:space="preserve"> iespēju līgumiem</w:t>
      </w:r>
      <w:r w:rsidRPr="00046FC6">
        <w:rPr>
          <w:rFonts w:ascii="Times New Roman" w:eastAsia="Times New Roman" w:hAnsi="Times New Roman" w:cs="Times New Roman"/>
          <w:sz w:val="24"/>
          <w:vertAlign w:val="superscript"/>
          <w:lang w:eastAsia="lv-LV"/>
        </w:rPr>
        <w:footnoteReference w:id="16"/>
      </w:r>
      <w:r w:rsidRPr="00046FC6">
        <w:rPr>
          <w:rFonts w:ascii="Times New Roman" w:eastAsia="Times New Roman" w:hAnsi="Times New Roman" w:cs="Times New Roman"/>
          <w:sz w:val="24"/>
          <w:lang w:eastAsia="lv-LV"/>
        </w:rPr>
        <w:t>.</w:t>
      </w:r>
    </w:p>
    <w:p w14:paraId="4934998A" w14:textId="156FC8AD" w:rsidR="00B07C82" w:rsidRPr="00046FC6" w:rsidRDefault="00B07C82"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lang w:eastAsia="lv-LV"/>
        </w:rPr>
        <w:t>Latvijas Bankas novērtējums, kas izklāstīts turpmāk, ir balstīts uz būtiskiem pierādījumiem, ko iepriekšējos gados savākušas citu dalībvalstu uzraudzības iestādes un EVTI.</w:t>
      </w:r>
    </w:p>
    <w:p w14:paraId="2F6BB7C0" w14:textId="11CD32AF" w:rsidR="00B07C82" w:rsidRPr="00046FC6" w:rsidRDefault="00B07C82" w:rsidP="00046FC6">
      <w:pPr>
        <w:tabs>
          <w:tab w:val="decimal" w:pos="426"/>
        </w:tabs>
        <w:spacing w:after="120" w:line="240" w:lineRule="auto"/>
        <w:rPr>
          <w:rFonts w:ascii="Times New Roman" w:eastAsia="Times New Roman" w:hAnsi="Times New Roman" w:cs="Times New Roman"/>
          <w:sz w:val="24"/>
          <w:lang w:eastAsia="lv-LV"/>
        </w:rPr>
      </w:pPr>
      <w:r w:rsidRPr="00046FC6">
        <w:rPr>
          <w:rFonts w:ascii="Times New Roman" w:eastAsia="Times New Roman" w:hAnsi="Times New Roman" w:cs="Times New Roman"/>
          <w:b/>
          <w:sz w:val="24"/>
          <w:szCs w:val="24"/>
          <w:lang w:eastAsia="lv-LV"/>
        </w:rPr>
        <w:t xml:space="preserve">Ievērojamas bažas par ieguldītāju aizsardzību </w:t>
      </w:r>
      <w:r w:rsidR="00AE1368" w:rsidRPr="00046FC6">
        <w:rPr>
          <w:rFonts w:ascii="Times New Roman" w:eastAsia="Times New Roman" w:hAnsi="Times New Roman" w:cs="Times New Roman"/>
          <w:b/>
          <w:sz w:val="24"/>
          <w:szCs w:val="24"/>
          <w:lang w:eastAsia="lv-LV"/>
        </w:rPr>
        <w:t>(</w:t>
      </w:r>
      <w:r w:rsidR="00976D99"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976D9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976D9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a) apakšpunkts)</w:t>
      </w:r>
    </w:p>
    <w:p w14:paraId="7216BE30" w14:textId="3FBBBDC3" w:rsidR="00B07C82" w:rsidRPr="00046FC6" w:rsidRDefault="00976D99" w:rsidP="00220999">
      <w:pPr>
        <w:numPr>
          <w:ilvl w:val="0"/>
          <w:numId w:val="8"/>
        </w:numPr>
        <w:tabs>
          <w:tab w:val="decimal" w:pos="426"/>
        </w:tabs>
        <w:spacing w:after="120" w:line="240" w:lineRule="auto"/>
        <w:ind w:left="0" w:firstLine="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Regulas Nr. 600/2014</w:t>
      </w:r>
      <w:r w:rsidR="00B07C82" w:rsidRPr="00046FC6">
        <w:rPr>
          <w:rFonts w:ascii="Times New Roman" w:eastAsia="Times New Roman" w:hAnsi="Times New Roman" w:cs="Times New Roman"/>
          <w:sz w:val="24"/>
          <w:lang w:eastAsia="lv-LV"/>
        </w:rPr>
        <w:t xml:space="preserve"> 42.</w:t>
      </w:r>
      <w:r w:rsidRPr="00046FC6">
        <w:rPr>
          <w:rFonts w:ascii="Times New Roman" w:eastAsia="Times New Roman" w:hAnsi="Times New Roman" w:cs="Times New Roman"/>
          <w:sz w:val="24"/>
          <w:lang w:eastAsia="lv-LV"/>
        </w:rPr>
        <w:t> </w:t>
      </w:r>
      <w:r w:rsidR="00B07C82" w:rsidRPr="00046FC6">
        <w:rPr>
          <w:rFonts w:ascii="Times New Roman" w:eastAsia="Times New Roman" w:hAnsi="Times New Roman" w:cs="Times New Roman"/>
          <w:sz w:val="24"/>
          <w:lang w:eastAsia="lv-LV"/>
        </w:rPr>
        <w:t>panta 2.</w:t>
      </w:r>
      <w:r w:rsidRPr="00046FC6">
        <w:rPr>
          <w:rFonts w:ascii="Times New Roman" w:eastAsia="Times New Roman" w:hAnsi="Times New Roman" w:cs="Times New Roman"/>
          <w:sz w:val="24"/>
          <w:lang w:eastAsia="lv-LV"/>
        </w:rPr>
        <w:t> </w:t>
      </w:r>
      <w:r w:rsidR="00B07C82" w:rsidRPr="00046FC6">
        <w:rPr>
          <w:rFonts w:ascii="Times New Roman" w:eastAsia="Times New Roman" w:hAnsi="Times New Roman" w:cs="Times New Roman"/>
          <w:sz w:val="24"/>
          <w:lang w:eastAsia="lv-LV"/>
        </w:rPr>
        <w:t>punkta a)</w:t>
      </w:r>
      <w:r w:rsidRPr="00046FC6">
        <w:rPr>
          <w:rFonts w:ascii="Times New Roman" w:eastAsia="Times New Roman" w:hAnsi="Times New Roman" w:cs="Times New Roman"/>
          <w:sz w:val="24"/>
          <w:lang w:eastAsia="lv-LV"/>
        </w:rPr>
        <w:t> </w:t>
      </w:r>
      <w:r w:rsidR="00B07C82" w:rsidRPr="00046FC6">
        <w:rPr>
          <w:rFonts w:ascii="Times New Roman" w:eastAsia="Times New Roman" w:hAnsi="Times New Roman" w:cs="Times New Roman"/>
          <w:sz w:val="24"/>
          <w:lang w:eastAsia="lv-LV"/>
        </w:rPr>
        <w:t xml:space="preserve">apakšpunktā ir noteikts, ka </w:t>
      </w:r>
      <w:r w:rsidR="007324C7" w:rsidRPr="00046FC6">
        <w:rPr>
          <w:rFonts w:ascii="Times New Roman" w:eastAsia="Times New Roman" w:hAnsi="Times New Roman" w:cs="Times New Roman"/>
          <w:sz w:val="24"/>
          <w:lang w:eastAsia="lv-LV"/>
        </w:rPr>
        <w:t>kompetentā iestāde (tātad arī Latvijas Banka)</w:t>
      </w:r>
      <w:r w:rsidR="00B07C82" w:rsidRPr="00046FC6">
        <w:rPr>
          <w:rFonts w:ascii="Times New Roman" w:eastAsia="Times New Roman" w:hAnsi="Times New Roman" w:cs="Times New Roman"/>
          <w:sz w:val="24"/>
          <w:lang w:eastAsia="lv-LV"/>
        </w:rPr>
        <w:t xml:space="preserve"> var noteikt prasības, ja tai ir pamatots iemesls uzskatīt, ka finanšu instruments, strukturētais depozīts</w:t>
      </w:r>
      <w:r w:rsidR="007324C7" w:rsidRPr="00046FC6">
        <w:rPr>
          <w:rFonts w:ascii="Times New Roman" w:eastAsia="Times New Roman" w:hAnsi="Times New Roman" w:cs="Times New Roman"/>
          <w:sz w:val="24"/>
          <w:lang w:eastAsia="lv-LV"/>
        </w:rPr>
        <w:t>,</w:t>
      </w:r>
      <w:r w:rsidR="00B07C82" w:rsidRPr="00046FC6">
        <w:rPr>
          <w:rFonts w:ascii="Times New Roman" w:eastAsia="Times New Roman" w:hAnsi="Times New Roman" w:cs="Times New Roman"/>
          <w:sz w:val="24"/>
          <w:lang w:eastAsia="lv-LV"/>
        </w:rPr>
        <w:t xml:space="preserve"> darbība vai prakse rada ievērojamas bažas par ieguldītāju aizsardzību. Nosakot, vai pastāv ievērojamas bažas par ieguldītāju aizsardzību, Latvijas Banka ir izvērtējusi faktoru</w:t>
      </w:r>
      <w:r w:rsidR="007324C7" w:rsidRPr="00046FC6">
        <w:rPr>
          <w:rFonts w:ascii="Times New Roman" w:eastAsia="Times New Roman" w:hAnsi="Times New Roman" w:cs="Times New Roman"/>
          <w:sz w:val="24"/>
          <w:lang w:eastAsia="lv-LV"/>
        </w:rPr>
        <w:t>s</w:t>
      </w:r>
      <w:r w:rsidR="00B07C82" w:rsidRPr="00046FC6">
        <w:rPr>
          <w:rFonts w:ascii="Times New Roman" w:eastAsia="Times New Roman" w:hAnsi="Times New Roman" w:cs="Times New Roman"/>
          <w:sz w:val="24"/>
          <w:lang w:eastAsia="lv-LV"/>
        </w:rPr>
        <w:t xml:space="preserve"> un kritēriju</w:t>
      </w:r>
      <w:r w:rsidR="007324C7" w:rsidRPr="00046FC6">
        <w:rPr>
          <w:rFonts w:ascii="Times New Roman" w:eastAsia="Times New Roman" w:hAnsi="Times New Roman" w:cs="Times New Roman"/>
          <w:sz w:val="24"/>
          <w:lang w:eastAsia="lv-LV"/>
        </w:rPr>
        <w:t>s</w:t>
      </w:r>
      <w:r w:rsidR="00B07C82" w:rsidRPr="00046FC6">
        <w:rPr>
          <w:rFonts w:ascii="Times New Roman" w:eastAsia="Times New Roman" w:hAnsi="Times New Roman" w:cs="Times New Roman"/>
          <w:sz w:val="24"/>
          <w:lang w:eastAsia="lv-LV"/>
        </w:rPr>
        <w:t>, k</w:t>
      </w:r>
      <w:r w:rsidR="007324C7" w:rsidRPr="00046FC6">
        <w:rPr>
          <w:rFonts w:ascii="Times New Roman" w:eastAsia="Times New Roman" w:hAnsi="Times New Roman" w:cs="Times New Roman"/>
          <w:sz w:val="24"/>
          <w:lang w:eastAsia="lv-LV"/>
        </w:rPr>
        <w:t>uri</w:t>
      </w:r>
      <w:r w:rsidR="00B07C82" w:rsidRPr="00046FC6">
        <w:rPr>
          <w:rFonts w:ascii="Times New Roman" w:eastAsia="Times New Roman" w:hAnsi="Times New Roman" w:cs="Times New Roman"/>
          <w:sz w:val="24"/>
          <w:lang w:eastAsia="lv-LV"/>
        </w:rPr>
        <w:t xml:space="preserve"> uzskaitīti Deleģētās regulas </w:t>
      </w:r>
      <w:bookmarkStart w:id="9" w:name="_Hlk174717081"/>
      <w:r w:rsidR="00B07C82" w:rsidRPr="00046FC6">
        <w:rPr>
          <w:rFonts w:ascii="Times New Roman" w:eastAsia="Times New Roman" w:hAnsi="Times New Roman" w:cs="Times New Roman"/>
          <w:sz w:val="24"/>
          <w:lang w:eastAsia="lv-LV"/>
        </w:rPr>
        <w:t>Nr.</w:t>
      </w:r>
      <w:r w:rsidRPr="00046FC6">
        <w:rPr>
          <w:rFonts w:ascii="Times New Roman" w:eastAsia="Times New Roman" w:hAnsi="Times New Roman" w:cs="Times New Roman"/>
          <w:sz w:val="24"/>
          <w:lang w:eastAsia="lv-LV"/>
        </w:rPr>
        <w:t> </w:t>
      </w:r>
      <w:r w:rsidR="00B07C82" w:rsidRPr="00046FC6">
        <w:rPr>
          <w:rFonts w:ascii="Times New Roman" w:eastAsia="Times New Roman" w:hAnsi="Times New Roman" w:cs="Times New Roman"/>
          <w:sz w:val="24"/>
          <w:lang w:eastAsia="lv-LV"/>
        </w:rPr>
        <w:t xml:space="preserve">2017/567 </w:t>
      </w:r>
      <w:bookmarkEnd w:id="9"/>
      <w:r w:rsidR="00B07C82" w:rsidRPr="00046FC6">
        <w:rPr>
          <w:rFonts w:ascii="Times New Roman" w:eastAsia="Times New Roman" w:hAnsi="Times New Roman" w:cs="Times New Roman"/>
          <w:sz w:val="24"/>
          <w:lang w:eastAsia="lv-LV"/>
        </w:rPr>
        <w:t>21.</w:t>
      </w:r>
      <w:r w:rsidRPr="00046FC6">
        <w:rPr>
          <w:rFonts w:ascii="Times New Roman" w:eastAsia="Times New Roman" w:hAnsi="Times New Roman" w:cs="Times New Roman"/>
          <w:sz w:val="24"/>
          <w:lang w:eastAsia="lv-LV"/>
        </w:rPr>
        <w:t> </w:t>
      </w:r>
      <w:r w:rsidR="00B07C82" w:rsidRPr="00046FC6">
        <w:rPr>
          <w:rFonts w:ascii="Times New Roman" w:eastAsia="Times New Roman" w:hAnsi="Times New Roman" w:cs="Times New Roman"/>
          <w:sz w:val="24"/>
          <w:lang w:eastAsia="lv-LV"/>
        </w:rPr>
        <w:t>panta 2.</w:t>
      </w:r>
      <w:r w:rsidRPr="00046FC6">
        <w:rPr>
          <w:rFonts w:ascii="Times New Roman" w:eastAsia="Times New Roman" w:hAnsi="Times New Roman" w:cs="Times New Roman"/>
          <w:sz w:val="24"/>
          <w:lang w:eastAsia="lv-LV"/>
        </w:rPr>
        <w:t> </w:t>
      </w:r>
      <w:r w:rsidR="00B07C82" w:rsidRPr="00046FC6">
        <w:rPr>
          <w:rFonts w:ascii="Times New Roman" w:eastAsia="Times New Roman" w:hAnsi="Times New Roman" w:cs="Times New Roman"/>
          <w:sz w:val="24"/>
          <w:lang w:eastAsia="lv-LV"/>
        </w:rPr>
        <w:t xml:space="preserve">punktā. Ņemot vērā attiecīgos faktorus un kritērijus, Latvijas Banka ir secinājusi, ka pastāv būtiskas bažas par ieguldītāju aizsardzību </w:t>
      </w:r>
      <w:r w:rsidR="007324C7" w:rsidRPr="00046FC6">
        <w:rPr>
          <w:rFonts w:ascii="Times New Roman" w:eastAsia="Times New Roman" w:hAnsi="Times New Roman" w:cs="Times New Roman"/>
          <w:sz w:val="24"/>
          <w:lang w:eastAsia="lv-LV"/>
        </w:rPr>
        <w:t>tālāk</w:t>
      </w:r>
      <w:r w:rsidR="00B07C82" w:rsidRPr="00046FC6">
        <w:rPr>
          <w:rFonts w:ascii="Times New Roman" w:eastAsia="Times New Roman" w:hAnsi="Times New Roman" w:cs="Times New Roman"/>
          <w:sz w:val="24"/>
          <w:lang w:eastAsia="lv-LV"/>
        </w:rPr>
        <w:t xml:space="preserve"> izklāstīto iemeslu dēļ.</w:t>
      </w:r>
    </w:p>
    <w:p w14:paraId="0F4D12A3" w14:textId="206BB7B6" w:rsidR="00B07C82" w:rsidRPr="00046FC6" w:rsidRDefault="00B07C82"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lastRenderedPageBreak/>
        <w:t>Binār</w:t>
      </w:r>
      <w:r w:rsidR="007324C7"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lang w:eastAsia="lv-LV"/>
        </w:rPr>
        <w:t xml:space="preserve">iespēju līgums </w:t>
      </w:r>
      <w:r w:rsidRPr="00046FC6">
        <w:rPr>
          <w:rFonts w:ascii="Times New Roman" w:eastAsia="Times New Roman" w:hAnsi="Times New Roman" w:cs="Times New Roman"/>
          <w:bCs/>
          <w:sz w:val="24"/>
          <w:szCs w:val="24"/>
          <w:lang w:eastAsia="lv-LV"/>
        </w:rPr>
        <w:t>ir finanšu instruments, par kuru veic norēķinus naudā un k</w:t>
      </w:r>
      <w:r w:rsidR="007B6ADE" w:rsidRPr="00046FC6">
        <w:rPr>
          <w:rFonts w:ascii="Times New Roman" w:eastAsia="Times New Roman" w:hAnsi="Times New Roman" w:cs="Times New Roman"/>
          <w:bCs/>
          <w:sz w:val="24"/>
          <w:szCs w:val="24"/>
          <w:lang w:eastAsia="lv-LV"/>
        </w:rPr>
        <w:t>urš</w:t>
      </w:r>
      <w:r w:rsidRPr="00046FC6">
        <w:rPr>
          <w:rFonts w:ascii="Times New Roman" w:eastAsia="Times New Roman" w:hAnsi="Times New Roman" w:cs="Times New Roman"/>
          <w:bCs/>
          <w:sz w:val="24"/>
          <w:szCs w:val="24"/>
          <w:lang w:eastAsia="lv-LV"/>
        </w:rPr>
        <w:t xml:space="preserve"> paredz, ka fiksētas naudas summas samaksa ir atkarīga no tā, vai, beidzoties atvasinātā finanšu instrumenta termiņam, vai pirms šā termiņa beigām notiek viens vai vairāki konkrēti ar pamatā esošā vērtspapīra cenu saistīti notikumi</w:t>
      </w:r>
      <w:r w:rsidRPr="00046FC6">
        <w:rPr>
          <w:rFonts w:ascii="Times New Roman" w:eastAsia="Times New Roman" w:hAnsi="Times New Roman" w:cs="Times New Roman"/>
          <w:bCs/>
          <w:sz w:val="24"/>
          <w:szCs w:val="24"/>
          <w:vertAlign w:val="superscript"/>
          <w:lang w:eastAsia="lv-LV"/>
        </w:rPr>
        <w:footnoteReference w:id="17"/>
      </w:r>
      <w:r w:rsidRPr="00046FC6">
        <w:rPr>
          <w:rFonts w:ascii="Times New Roman" w:eastAsia="Times New Roman" w:hAnsi="Times New Roman" w:cs="Times New Roman"/>
          <w:bCs/>
          <w:sz w:val="24"/>
          <w:szCs w:val="24"/>
          <w:lang w:eastAsia="lv-LV"/>
        </w:rPr>
        <w:t xml:space="preserve"> (piemēram, beidzoties </w:t>
      </w:r>
      <w:r w:rsidR="007324C7" w:rsidRPr="00046FC6">
        <w:rPr>
          <w:rFonts w:ascii="Times New Roman" w:eastAsia="Times New Roman" w:hAnsi="Times New Roman" w:cs="Times New Roman"/>
          <w:bCs/>
          <w:sz w:val="24"/>
          <w:szCs w:val="24"/>
          <w:lang w:eastAsia="lv-LV"/>
        </w:rPr>
        <w:t xml:space="preserve">līguma </w:t>
      </w:r>
      <w:r w:rsidRPr="00046FC6">
        <w:rPr>
          <w:rFonts w:ascii="Times New Roman" w:eastAsia="Times New Roman" w:hAnsi="Times New Roman" w:cs="Times New Roman"/>
          <w:bCs/>
          <w:sz w:val="24"/>
          <w:szCs w:val="24"/>
          <w:lang w:eastAsia="lv-LV"/>
        </w:rPr>
        <w:t>termiņam, pamatā esošais vērtspapīrs ir sasniedzis noteiktu cenu (turpmāk</w:t>
      </w:r>
      <w:r w:rsidR="00976D9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w:t>
      </w:r>
      <w:r w:rsidR="00976D99"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bCs/>
          <w:sz w:val="24"/>
          <w:szCs w:val="24"/>
          <w:lang w:eastAsia="lv-LV"/>
        </w:rPr>
        <w:t>norunas cena)).</w:t>
      </w:r>
    </w:p>
    <w:p w14:paraId="5510F8DD" w14:textId="0C1AC9E9" w:rsidR="00B07C82" w:rsidRPr="00046FC6" w:rsidRDefault="00B07C82"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Binār</w:t>
      </w:r>
      <w:r w:rsidR="007324C7"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 sniedz ieguldītājam iespēju likt likmi uz to, ka </w:t>
      </w:r>
      <w:r w:rsidR="007324C7" w:rsidRPr="00046FC6">
        <w:rPr>
          <w:rFonts w:ascii="Times New Roman" w:eastAsia="Times New Roman" w:hAnsi="Times New Roman" w:cs="Times New Roman"/>
          <w:bCs/>
          <w:sz w:val="24"/>
          <w:szCs w:val="24"/>
          <w:lang w:eastAsia="lv-LV"/>
        </w:rPr>
        <w:t>iestāsies</w:t>
      </w:r>
      <w:r w:rsidRPr="00046FC6">
        <w:rPr>
          <w:rFonts w:ascii="Times New Roman" w:eastAsia="Times New Roman" w:hAnsi="Times New Roman" w:cs="Times New Roman"/>
          <w:bCs/>
          <w:sz w:val="24"/>
          <w:szCs w:val="24"/>
          <w:lang w:eastAsia="lv-LV"/>
        </w:rPr>
        <w:t xml:space="preserve"> noteikts ar </w:t>
      </w:r>
      <w:r w:rsidR="007324C7" w:rsidRPr="00046FC6">
        <w:rPr>
          <w:rFonts w:ascii="Times New Roman" w:eastAsia="Times New Roman" w:hAnsi="Times New Roman" w:cs="Times New Roman"/>
          <w:bCs/>
          <w:sz w:val="24"/>
          <w:szCs w:val="24"/>
          <w:lang w:eastAsia="lv-LV"/>
        </w:rPr>
        <w:t xml:space="preserve">līguma </w:t>
      </w:r>
      <w:r w:rsidRPr="00046FC6">
        <w:rPr>
          <w:rFonts w:ascii="Times New Roman" w:eastAsia="Times New Roman" w:hAnsi="Times New Roman" w:cs="Times New Roman"/>
          <w:bCs/>
          <w:sz w:val="24"/>
          <w:szCs w:val="24"/>
          <w:lang w:eastAsia="lv-LV"/>
        </w:rPr>
        <w:t xml:space="preserve">pamatā esošā vērtspapīra (piemēram, akcijas, valūtas, preces vai indeksa) cenu, līmeni vai vērtību saistīts notikums. Ja notikums </w:t>
      </w:r>
      <w:r w:rsidR="007324C7" w:rsidRPr="00046FC6">
        <w:rPr>
          <w:rFonts w:ascii="Times New Roman" w:eastAsia="Times New Roman" w:hAnsi="Times New Roman" w:cs="Times New Roman"/>
          <w:bCs/>
          <w:sz w:val="24"/>
          <w:szCs w:val="24"/>
          <w:lang w:eastAsia="lv-LV"/>
        </w:rPr>
        <w:t>neiestājas</w:t>
      </w:r>
      <w:r w:rsidRPr="00046FC6">
        <w:rPr>
          <w:rFonts w:ascii="Times New Roman" w:eastAsia="Times New Roman" w:hAnsi="Times New Roman" w:cs="Times New Roman"/>
          <w:bCs/>
          <w:sz w:val="24"/>
          <w:szCs w:val="24"/>
          <w:lang w:eastAsia="lv-LV"/>
        </w:rPr>
        <w:t xml:space="preserve">, ieguldītājs zaudē savu naudu (proti, </w:t>
      </w:r>
      <w:r w:rsidR="00976D99" w:rsidRPr="00046FC6">
        <w:rPr>
          <w:rFonts w:ascii="Times New Roman" w:eastAsia="Times New Roman" w:hAnsi="Times New Roman" w:cs="Times New Roman"/>
          <w:bCs/>
          <w:sz w:val="24"/>
          <w:szCs w:val="24"/>
          <w:lang w:eastAsia="lv-LV"/>
        </w:rPr>
        <w:t>līgums</w:t>
      </w:r>
      <w:r w:rsidRPr="00046FC6">
        <w:rPr>
          <w:rFonts w:ascii="Times New Roman" w:eastAsia="Times New Roman" w:hAnsi="Times New Roman" w:cs="Times New Roman"/>
          <w:bCs/>
          <w:sz w:val="24"/>
          <w:szCs w:val="24"/>
          <w:lang w:eastAsia="lv-LV"/>
        </w:rPr>
        <w:t xml:space="preserve"> noslēdzas ar zaudējumiem). Ja notikums </w:t>
      </w:r>
      <w:r w:rsidR="007324C7" w:rsidRPr="00046FC6">
        <w:rPr>
          <w:rFonts w:ascii="Times New Roman" w:eastAsia="Times New Roman" w:hAnsi="Times New Roman" w:cs="Times New Roman"/>
          <w:bCs/>
          <w:sz w:val="24"/>
          <w:szCs w:val="24"/>
          <w:lang w:eastAsia="lv-LV"/>
        </w:rPr>
        <w:t>iestājas</w:t>
      </w:r>
      <w:r w:rsidRPr="00046FC6">
        <w:rPr>
          <w:rFonts w:ascii="Times New Roman" w:eastAsia="Times New Roman" w:hAnsi="Times New Roman" w:cs="Times New Roman"/>
          <w:bCs/>
          <w:sz w:val="24"/>
          <w:szCs w:val="24"/>
          <w:lang w:eastAsia="lv-LV"/>
        </w:rPr>
        <w:t xml:space="preserve">, </w:t>
      </w:r>
      <w:r w:rsidR="00976D99" w:rsidRPr="00046FC6">
        <w:rPr>
          <w:rFonts w:ascii="Times New Roman" w:eastAsia="Times New Roman" w:hAnsi="Times New Roman" w:cs="Times New Roman"/>
          <w:bCs/>
          <w:sz w:val="24"/>
          <w:szCs w:val="24"/>
          <w:lang w:eastAsia="lv-LV"/>
        </w:rPr>
        <w:t>līguma</w:t>
      </w:r>
      <w:r w:rsidRPr="00046FC6">
        <w:rPr>
          <w:rFonts w:ascii="Times New Roman" w:eastAsia="Times New Roman" w:hAnsi="Times New Roman" w:cs="Times New Roman"/>
          <w:bCs/>
          <w:sz w:val="24"/>
          <w:szCs w:val="24"/>
          <w:lang w:eastAsia="lv-LV"/>
        </w:rPr>
        <w:t xml:space="preserve"> naudas summa tiek izmaksāta vai līgums paliek spēkā, paredzot iespēju saņemt naudas summu, ja notiek </w:t>
      </w:r>
      <w:r w:rsidRPr="00046FC6">
        <w:rPr>
          <w:rFonts w:ascii="Times New Roman" w:eastAsia="Times New Roman" w:hAnsi="Times New Roman" w:cs="Times New Roman"/>
          <w:sz w:val="24"/>
          <w:szCs w:val="24"/>
          <w:lang w:eastAsia="lv-LV"/>
        </w:rPr>
        <w:t>atsevišķs</w:t>
      </w:r>
      <w:r w:rsidRPr="00046FC6">
        <w:rPr>
          <w:rFonts w:ascii="Times New Roman" w:eastAsia="Times New Roman" w:hAnsi="Times New Roman" w:cs="Times New Roman"/>
          <w:bCs/>
          <w:sz w:val="24"/>
          <w:szCs w:val="24"/>
          <w:lang w:eastAsia="lv-LV"/>
        </w:rPr>
        <w:t xml:space="preserve"> notikums (</w:t>
      </w:r>
      <w:r w:rsidR="00976D99" w:rsidRPr="00046FC6">
        <w:rPr>
          <w:rFonts w:ascii="Times New Roman" w:eastAsia="Times New Roman" w:hAnsi="Times New Roman" w:cs="Times New Roman"/>
          <w:bCs/>
          <w:sz w:val="24"/>
          <w:szCs w:val="24"/>
          <w:lang w:eastAsia="lv-LV"/>
        </w:rPr>
        <w:t>līgums</w:t>
      </w:r>
      <w:r w:rsidRPr="00046FC6">
        <w:rPr>
          <w:rFonts w:ascii="Times New Roman" w:eastAsia="Times New Roman" w:hAnsi="Times New Roman" w:cs="Times New Roman"/>
          <w:bCs/>
          <w:sz w:val="24"/>
          <w:szCs w:val="24"/>
          <w:lang w:eastAsia="lv-LV"/>
        </w:rPr>
        <w:t xml:space="preserve"> noslēdzas ar peļņu). Šajā ziņā bināro iespēju līgumus var uzskatīt par </w:t>
      </w:r>
      <w:r w:rsidR="00976D9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jā/nē priekšlikumiem</w:t>
      </w:r>
      <w:r w:rsidR="00976D9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Bieži vien </w:t>
      </w:r>
      <w:r w:rsidR="00976D9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jā/nē priekšlikums</w:t>
      </w:r>
      <w:r w:rsidR="00976D9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attiecas uz to, vai pamatā esošā vērtspapīra cena, beidzoties binār</w:t>
      </w:r>
      <w:r w:rsidR="007324C7"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termiņam, pārsniedz vai ir zemāka par norunas cenu. </w:t>
      </w:r>
    </w:p>
    <w:p w14:paraId="29CE0CF8" w14:textId="4C415A3A" w:rsidR="00B07C82" w:rsidRPr="00046FC6" w:rsidRDefault="00B07C82"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 piekrīt EVTI bažām par to, ka bināro iespēju līgumi</w:t>
      </w:r>
      <w:r w:rsidR="000661C8" w:rsidRPr="00046FC6">
        <w:rPr>
          <w:rFonts w:ascii="Times New Roman" w:eastAsia="Times New Roman" w:hAnsi="Times New Roman" w:cs="Times New Roman"/>
          <w:bCs/>
          <w:sz w:val="24"/>
          <w:szCs w:val="24"/>
          <w:lang w:eastAsia="lv-LV"/>
        </w:rPr>
        <w:t xml:space="preserve"> nenodrošina</w:t>
      </w:r>
      <w:r w:rsidRPr="00046FC6">
        <w:rPr>
          <w:rFonts w:ascii="Times New Roman" w:eastAsia="Times New Roman" w:hAnsi="Times New Roman" w:cs="Times New Roman"/>
          <w:bCs/>
          <w:sz w:val="24"/>
          <w:szCs w:val="24"/>
          <w:lang w:eastAsia="lv-LV"/>
        </w:rPr>
        <w:t xml:space="preserve"> nekādas privāto klientu vajadzības saistībā ar reāliem ieguldījumiem</w:t>
      </w:r>
      <w:r w:rsidRPr="00046FC6">
        <w:rPr>
          <w:rFonts w:ascii="Times New Roman" w:eastAsia="Times New Roman" w:hAnsi="Times New Roman" w:cs="Times New Roman"/>
          <w:bCs/>
          <w:sz w:val="24"/>
          <w:szCs w:val="24"/>
          <w:vertAlign w:val="superscript"/>
          <w:lang w:eastAsia="lv-LV"/>
        </w:rPr>
        <w:footnoteReference w:id="18"/>
      </w:r>
      <w:r w:rsidRPr="00046FC6">
        <w:rPr>
          <w:rFonts w:ascii="Times New Roman" w:eastAsia="Times New Roman" w:hAnsi="Times New Roman" w:cs="Times New Roman"/>
          <w:bCs/>
          <w:sz w:val="24"/>
          <w:szCs w:val="24"/>
          <w:lang w:eastAsia="lv-LV"/>
        </w:rPr>
        <w:t xml:space="preserve"> (atšķirībā no citu veidu iespēju līgumiem, kur</w:t>
      </w:r>
      <w:r w:rsidR="00493B54" w:rsidRPr="00046FC6">
        <w:rPr>
          <w:rFonts w:ascii="Times New Roman" w:eastAsia="Times New Roman" w:hAnsi="Times New Roman" w:cs="Times New Roman"/>
          <w:bCs/>
          <w:sz w:val="24"/>
          <w:szCs w:val="24"/>
          <w:lang w:eastAsia="lv-LV"/>
        </w:rPr>
        <w:t>iem</w:t>
      </w:r>
      <w:r w:rsidRPr="00046FC6">
        <w:rPr>
          <w:rFonts w:ascii="Times New Roman" w:eastAsia="Times New Roman" w:hAnsi="Times New Roman" w:cs="Times New Roman"/>
          <w:bCs/>
          <w:sz w:val="24"/>
          <w:szCs w:val="24"/>
          <w:lang w:eastAsia="lv-LV"/>
        </w:rPr>
        <w:t xml:space="preserve"> var būt būtiska nozīme, ierobežojot noteiktu aktīvu radīto risku). Latvijas Banka arī pievienojas </w:t>
      </w:r>
      <w:r w:rsidR="009E0847" w:rsidRPr="00046FC6">
        <w:rPr>
          <w:rFonts w:ascii="Times New Roman" w:eastAsia="Times New Roman" w:hAnsi="Times New Roman" w:cs="Times New Roman"/>
          <w:bCs/>
          <w:sz w:val="24"/>
          <w:szCs w:val="24"/>
          <w:lang w:eastAsia="lv-LV"/>
        </w:rPr>
        <w:t xml:space="preserve">EVTI </w:t>
      </w:r>
      <w:r w:rsidRPr="00046FC6">
        <w:rPr>
          <w:rFonts w:ascii="Times New Roman" w:eastAsia="Times New Roman" w:hAnsi="Times New Roman" w:cs="Times New Roman"/>
          <w:bCs/>
          <w:sz w:val="24"/>
          <w:szCs w:val="24"/>
          <w:lang w:eastAsia="lv-LV"/>
        </w:rPr>
        <w:t xml:space="preserve">bažām par </w:t>
      </w:r>
      <w:r w:rsidRPr="00046FC6">
        <w:rPr>
          <w:rFonts w:ascii="Times New Roman" w:eastAsia="Times New Roman" w:hAnsi="Times New Roman" w:cs="Times New Roman"/>
          <w:sz w:val="24"/>
          <w:szCs w:val="24"/>
          <w:lang w:eastAsia="lv-LV"/>
        </w:rPr>
        <w:t>riskiem</w:t>
      </w:r>
      <w:r w:rsidRPr="00046FC6">
        <w:rPr>
          <w:rFonts w:ascii="Times New Roman" w:eastAsia="Times New Roman" w:hAnsi="Times New Roman" w:cs="Times New Roman"/>
          <w:bCs/>
          <w:sz w:val="24"/>
          <w:szCs w:val="24"/>
          <w:lang w:eastAsia="lv-LV"/>
        </w:rPr>
        <w:t xml:space="preserve">, kas saistīti ar bināro iespēju līgumiem raksturīgajām iezīmēm, kā arī par </w:t>
      </w:r>
      <w:r w:rsidR="00022AA6"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iebūvētajiem</w:t>
      </w:r>
      <w:r w:rsidR="00022AA6"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un nepārvaldāmajiem interešu konfliktiem, kas saistīti ar šo produktu piedāvāšanu privātajiem klientiem. Šos riskus bieži pastiprin</w:t>
      </w:r>
      <w:r w:rsidR="00766A35"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bināro iespēju līgumu pārdevēju izmantotās agresīvās pārdošanas metodes.</w:t>
      </w:r>
    </w:p>
    <w:p w14:paraId="4974DEEB" w14:textId="400782EC" w:rsidR="00B07C82" w:rsidRPr="00046FC6" w:rsidRDefault="00B07C82" w:rsidP="00046FC6">
      <w:pPr>
        <w:numPr>
          <w:ilvl w:val="0"/>
          <w:numId w:val="8"/>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Vairākas dalībvalstu uzraudzības iestādes ir norādījušas, ka šie produkti veicina atkarību no azartspēlēm. </w:t>
      </w:r>
      <w:r w:rsidR="009E0847" w:rsidRPr="00046FC6">
        <w:rPr>
          <w:rFonts w:ascii="Times New Roman" w:eastAsia="Times New Roman" w:hAnsi="Times New Roman" w:cs="Times New Roman"/>
          <w:bCs/>
          <w:sz w:val="24"/>
          <w:szCs w:val="24"/>
          <w:lang w:eastAsia="lv-LV"/>
        </w:rPr>
        <w:t xml:space="preserve">Piemēram, </w:t>
      </w:r>
      <w:r w:rsidRPr="00046FC6">
        <w:rPr>
          <w:rFonts w:ascii="Times New Roman" w:eastAsia="Times New Roman" w:hAnsi="Times New Roman" w:cs="Times New Roman"/>
          <w:bCs/>
          <w:sz w:val="24"/>
          <w:szCs w:val="24"/>
          <w:lang w:eastAsia="lv-LV"/>
        </w:rPr>
        <w:t>Lielbritānij</w:t>
      </w:r>
      <w:r w:rsidR="003007D9"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xml:space="preserve"> </w:t>
      </w:r>
      <w:r w:rsidR="00766A35" w:rsidRPr="00046FC6">
        <w:rPr>
          <w:rFonts w:ascii="Times New Roman" w:eastAsia="Times New Roman" w:hAnsi="Times New Roman" w:cs="Times New Roman"/>
          <w:bCs/>
          <w:sz w:val="24"/>
          <w:szCs w:val="24"/>
          <w:lang w:eastAsia="lv-LV"/>
        </w:rPr>
        <w:t>Finanšu pārvaldības iestāde</w:t>
      </w:r>
      <w:r w:rsidR="003007D9" w:rsidRPr="00046FC6">
        <w:rPr>
          <w:rFonts w:ascii="Times New Roman" w:eastAsia="Times New Roman" w:hAnsi="Times New Roman" w:cs="Times New Roman"/>
          <w:bCs/>
          <w:sz w:val="24"/>
          <w:szCs w:val="24"/>
          <w:lang w:eastAsia="lv-LV"/>
        </w:rPr>
        <w:t>s</w:t>
      </w:r>
      <w:r w:rsidR="00766A35" w:rsidRPr="00046FC6">
        <w:rPr>
          <w:rFonts w:ascii="Times New Roman" w:eastAsia="Times New Roman" w:hAnsi="Times New Roman" w:cs="Times New Roman"/>
          <w:bCs/>
          <w:sz w:val="24"/>
          <w:szCs w:val="24"/>
          <w:lang w:eastAsia="lv-LV"/>
        </w:rPr>
        <w:t xml:space="preserve"> (turpmāk – UK-FCA) </w:t>
      </w:r>
      <w:r w:rsidRPr="00046FC6">
        <w:rPr>
          <w:rFonts w:ascii="Times New Roman" w:eastAsia="Times New Roman" w:hAnsi="Times New Roman" w:cs="Times New Roman"/>
          <w:bCs/>
          <w:sz w:val="24"/>
          <w:szCs w:val="24"/>
          <w:lang w:eastAsia="lv-LV"/>
        </w:rPr>
        <w:t xml:space="preserve">veikts pētījums apliecina, ka atsevišķi ieguldītāji dažu dienu vai nedēļu laikā </w:t>
      </w:r>
      <w:r w:rsidR="007F424A" w:rsidRPr="00046FC6">
        <w:rPr>
          <w:rFonts w:ascii="Times New Roman" w:eastAsia="Times New Roman" w:hAnsi="Times New Roman" w:cs="Times New Roman"/>
          <w:bCs/>
          <w:sz w:val="24"/>
          <w:szCs w:val="24"/>
          <w:lang w:eastAsia="lv-LV"/>
        </w:rPr>
        <w:t xml:space="preserve">izdara </w:t>
      </w:r>
      <w:r w:rsidRPr="00046FC6">
        <w:rPr>
          <w:rFonts w:ascii="Times New Roman" w:eastAsia="Times New Roman" w:hAnsi="Times New Roman" w:cs="Times New Roman"/>
          <w:bCs/>
          <w:sz w:val="24"/>
          <w:szCs w:val="24"/>
          <w:lang w:eastAsia="lv-LV"/>
        </w:rPr>
        <w:t>daudzas likmes, neraugoties uz to, ka kumulatīvi zaudē naudu. Pētījumā arī tika konstatēts, ka bināro iespēju līgumu un azartspēļu produktu peļņas struktūra un laika periods ir ļoti līdzīgs</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19"/>
      </w:r>
      <w:r w:rsidRPr="00046FC6">
        <w:rPr>
          <w:rFonts w:ascii="Times New Roman" w:eastAsia="Times New Roman" w:hAnsi="Times New Roman" w:cs="Times New Roman"/>
          <w:bCs/>
          <w:sz w:val="24"/>
          <w:szCs w:val="24"/>
          <w:lang w:eastAsia="lv-LV"/>
        </w:rPr>
        <w:t xml:space="preserve"> EVTI bināro iespēju līgumu intervences lēmumos norādīts, ka šīs bažas ir īstenojušās vairākās jurisdikcijās un lielākā daļa privāto klientu šajās jurisdikcijās parasti zaudē naudu</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20"/>
      </w:r>
    </w:p>
    <w:p w14:paraId="32E7B93E" w14:textId="27D1549A" w:rsidR="00B07C82" w:rsidRPr="00046FC6" w:rsidRDefault="00B07C82" w:rsidP="00046FC6">
      <w:pPr>
        <w:tabs>
          <w:tab w:val="decimal" w:pos="426"/>
        </w:tabs>
        <w:spacing w:after="120" w:line="240" w:lineRule="auto"/>
        <w:rPr>
          <w:rFonts w:ascii="Times New Roman" w:eastAsia="Times New Roman" w:hAnsi="Times New Roman" w:cs="Times New Roman"/>
          <w:sz w:val="24"/>
          <w:lang w:eastAsia="lv-LV"/>
        </w:rPr>
      </w:pPr>
      <w:r w:rsidRPr="00046FC6">
        <w:rPr>
          <w:rFonts w:ascii="Times New Roman" w:eastAsia="Times New Roman" w:hAnsi="Times New Roman" w:cs="Times New Roman"/>
          <w:b/>
          <w:sz w:val="24"/>
          <w:szCs w:val="24"/>
          <w:lang w:eastAsia="lv-LV"/>
        </w:rPr>
        <w:t xml:space="preserve">Bināro iespēju līgumu sarežģītības pakāpe (Deleģētās </w:t>
      </w:r>
      <w:r w:rsidR="00976D99" w:rsidRPr="00046FC6">
        <w:rPr>
          <w:rFonts w:ascii="Times New Roman" w:eastAsia="Times New Roman" w:hAnsi="Times New Roman" w:cs="Times New Roman"/>
          <w:b/>
          <w:sz w:val="24"/>
          <w:szCs w:val="24"/>
          <w:lang w:eastAsia="lv-LV"/>
        </w:rPr>
        <w:t>r</w:t>
      </w:r>
      <w:r w:rsidRPr="00046FC6">
        <w:rPr>
          <w:rFonts w:ascii="Times New Roman" w:eastAsia="Times New Roman" w:hAnsi="Times New Roman" w:cs="Times New Roman"/>
          <w:b/>
          <w:sz w:val="24"/>
          <w:szCs w:val="24"/>
          <w:lang w:eastAsia="lv-LV"/>
        </w:rPr>
        <w:t xml:space="preserve">egulas </w:t>
      </w:r>
      <w:r w:rsidR="00976D99" w:rsidRPr="00046FC6">
        <w:rPr>
          <w:rFonts w:ascii="Times New Roman" w:eastAsia="Times New Roman" w:hAnsi="Times New Roman" w:cs="Times New Roman"/>
          <w:b/>
          <w:sz w:val="24"/>
          <w:szCs w:val="24"/>
          <w:lang w:eastAsia="lv-LV"/>
        </w:rPr>
        <w:t xml:space="preserve">Nr. 2017/567 </w:t>
      </w:r>
      <w:r w:rsidRPr="00046FC6">
        <w:rPr>
          <w:rFonts w:ascii="Times New Roman" w:eastAsia="Times New Roman" w:hAnsi="Times New Roman" w:cs="Times New Roman"/>
          <w:b/>
          <w:sz w:val="24"/>
          <w:szCs w:val="24"/>
          <w:lang w:eastAsia="lv-LV"/>
        </w:rPr>
        <w:t>21.</w:t>
      </w:r>
      <w:r w:rsidR="00976D9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976D9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a)</w:t>
      </w:r>
      <w:r w:rsidR="00976D9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4A823ECE" w14:textId="6FBEC7F4"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Binār</w:t>
      </w:r>
      <w:r w:rsidR="009E0847"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 ir sarežģīti finanšu instrumenti</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21"/>
      </w:r>
      <w:r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bCs/>
          <w:sz w:val="24"/>
          <w:szCs w:val="24"/>
          <w:lang w:eastAsia="lv-LV"/>
        </w:rPr>
        <w:t>Cenu struktūras sarežģītība rada vērā ņemamu informācijas asimetrijas risku starp pārdevējiem un privātajiem klientiem, tādējādi radot būtiskas bažas attiecībā uz ieguldītāju aizsardzību. Turklāt vairāku bināro iespēju līgumu iezīmju dēļ tie ir sarežģīti instrumenti, un privātajiem klientiem tos ir grūti izprast</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22"/>
      </w:r>
    </w:p>
    <w:p w14:paraId="644CA2E5" w14:textId="7777777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color w:val="000000"/>
          <w:sz w:val="24"/>
          <w:lang w:eastAsia="lv-LV"/>
        </w:rPr>
      </w:pPr>
      <w:r w:rsidRPr="00046FC6">
        <w:rPr>
          <w:rFonts w:ascii="Times New Roman" w:eastAsia="Times New Roman" w:hAnsi="Times New Roman" w:cs="Times New Roman"/>
          <w:color w:val="000000"/>
          <w:sz w:val="24"/>
          <w:lang w:eastAsia="lv-LV"/>
        </w:rPr>
        <w:t xml:space="preserve">Bināro </w:t>
      </w:r>
      <w:r w:rsidRPr="00046FC6">
        <w:rPr>
          <w:rFonts w:ascii="Times New Roman" w:eastAsia="Times New Roman" w:hAnsi="Times New Roman" w:cs="Times New Roman"/>
          <w:bCs/>
          <w:sz w:val="24"/>
          <w:lang w:eastAsia="lv-LV"/>
        </w:rPr>
        <w:t xml:space="preserve">iespēju līgumu </w:t>
      </w:r>
      <w:r w:rsidRPr="00046FC6">
        <w:rPr>
          <w:rFonts w:ascii="Times New Roman" w:eastAsia="Times New Roman" w:hAnsi="Times New Roman" w:cs="Times New Roman"/>
          <w:color w:val="000000"/>
          <w:sz w:val="24"/>
          <w:lang w:eastAsia="lv-LV"/>
        </w:rPr>
        <w:t xml:space="preserve">pārdevēji parasti nosaka bināro iespēju līgumu cenu, pamatojoties uz tirgus vai citādi modelētu konkrēta notikuma varbūtību pirms starpības vai cita veida </w:t>
      </w:r>
      <w:r w:rsidRPr="00046FC6">
        <w:rPr>
          <w:rFonts w:ascii="Times New Roman" w:eastAsia="Times New Roman" w:hAnsi="Times New Roman" w:cs="Times New Roman"/>
          <w:color w:val="000000"/>
          <w:sz w:val="24"/>
          <w:lang w:eastAsia="lv-LV"/>
        </w:rPr>
        <w:lastRenderedPageBreak/>
        <w:t>maksājuma par darījumu piemērošanas katram iespēju līgumam, radot klientam negatīvu paredzamo peļņu.</w:t>
      </w:r>
    </w:p>
    <w:p w14:paraId="2DAE28B4" w14:textId="21DA375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Šī bināro iespēju līguma cenu struktūra privātajiem klientiem rada vairākas problēmas. Cenu struktūra privātajiem klientiem īpaši rada vajadzību precīzi novērtēt iespēju līguma vērtību saistībā ar atsauces notikuma paredzamo varbūtību. Lai gan privātie klienti var izmantot parastus izpētes un cenas noteikšanas rīkus</w:t>
      </w:r>
      <w:r w:rsidR="009E0847"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bCs/>
          <w:sz w:val="24"/>
          <w:szCs w:val="24"/>
          <w:lang w:eastAsia="lv-LV"/>
        </w:rPr>
        <w:t>piemēram, lai noteiktu bināro iespēju līguma cenu</w:t>
      </w:r>
      <w:r w:rsidR="009E0847"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tie salīdzinājumā ar pārdevējiem saskaras ar ievērojamu informācijas asimetriju. Pārdevējiem ir daudz lielākas iespējas piekļūt informācijai un sistēmām, lai pienācīgi noteiktu šo produktu cenu un vērtību. Konkrētāk, bināro iespēju līguma pārdevēji var piekļūt vēsturiskajiem cenas datiem saistībā ar konkrēto pamatā esošo vērtspapīru</w:t>
      </w:r>
      <w:r w:rsidR="009E0847"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bCs/>
          <w:sz w:val="24"/>
          <w:szCs w:val="24"/>
          <w:lang w:eastAsia="lv-LV"/>
        </w:rPr>
        <w:t>piemēram, biržas vai komerciāla datu sniedzēja</w:t>
      </w:r>
      <w:r w:rsidR="006D43CF" w:rsidRPr="00046FC6">
        <w:rPr>
          <w:rFonts w:ascii="Times New Roman" w:eastAsia="Times New Roman" w:hAnsi="Times New Roman" w:cs="Times New Roman"/>
          <w:bCs/>
          <w:sz w:val="24"/>
          <w:szCs w:val="24"/>
          <w:lang w:eastAsia="lv-LV"/>
        </w:rPr>
        <w:t xml:space="preserve"> fiksētai informācijai par cenu izmaiņām</w:t>
      </w:r>
      <w:r w:rsidR="009E0847"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kas privātajiem klientiem parasti nav pieejama. Bināro iespēju līguma pārdevējiem parasti ir arī daudz lielāka pieredze līgumu cenu noteikšanas jomā nekā privātajiem klientiem, un ir daudz lielāka iespēja, ka tie būs izstrādājuši sarežģītas cenu noteikšanas metodes. Privātie klienti var arī nesaprast, ka tad, ja operācijas termiņš ir ļoti īss vai ja pozīcija tiek slēgta īsi pirms termiņa beigām, faktoriem, kas ir izmantoti iespēju līguma cenas noteikšanai</w:t>
      </w:r>
      <w:r w:rsidR="009E0847"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bCs/>
          <w:sz w:val="24"/>
          <w:szCs w:val="24"/>
          <w:lang w:eastAsia="lv-LV"/>
        </w:rPr>
        <w:t>piemēram, vēsturiskajam svārstīgumam</w:t>
      </w:r>
      <w:r w:rsidR="009E0847"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ir maza ietekme uz iespēju līguma vērtību. Tas ierobežo privāto klientu spēju pienācīgi novērtēt iespēju līgumu pat tad, ja tie izmanto pieejamos cenas noteikšanas rīkus. Turklāt, ņemot vērā starpību un citu maksu par darījumiem piemērošanu, privātajiem klientiem, lai tie no operācijām</w:t>
      </w:r>
      <w:r w:rsidR="00435CC6" w:rsidRPr="00046FC6">
        <w:rPr>
          <w:rFonts w:ascii="Times New Roman" w:eastAsia="Times New Roman" w:hAnsi="Times New Roman" w:cs="Times New Roman"/>
          <w:bCs/>
          <w:sz w:val="24"/>
          <w:szCs w:val="24"/>
          <w:lang w:eastAsia="lv-LV"/>
        </w:rPr>
        <w:t xml:space="preserve"> gūtu peļņu</w:t>
      </w:r>
      <w:r w:rsidRPr="00046FC6">
        <w:rPr>
          <w:rFonts w:ascii="Times New Roman" w:eastAsia="Times New Roman" w:hAnsi="Times New Roman" w:cs="Times New Roman"/>
          <w:bCs/>
          <w:sz w:val="24"/>
          <w:szCs w:val="24"/>
          <w:lang w:eastAsia="lv-LV"/>
        </w:rPr>
        <w:t>, no ieguldījumiem būtu regulāri jāgūst peļņa, kas pārsniedz paredzamās peļņas apmēru</w:t>
      </w:r>
      <w:r w:rsidR="009E0847"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Tāpēc privātajiem klientiem ir grūti veikt </w:t>
      </w:r>
      <w:r w:rsidR="00DC0A5B" w:rsidRPr="00046FC6">
        <w:rPr>
          <w:rFonts w:ascii="Times New Roman" w:eastAsia="Times New Roman" w:hAnsi="Times New Roman" w:cs="Times New Roman"/>
          <w:bCs/>
          <w:sz w:val="24"/>
          <w:szCs w:val="24"/>
          <w:lang w:eastAsia="lv-LV"/>
        </w:rPr>
        <w:t xml:space="preserve">ar </w:t>
      </w:r>
      <w:r w:rsidRPr="00046FC6">
        <w:rPr>
          <w:rFonts w:ascii="Times New Roman" w:eastAsia="Times New Roman" w:hAnsi="Times New Roman" w:cs="Times New Roman"/>
          <w:bCs/>
          <w:sz w:val="24"/>
          <w:szCs w:val="24"/>
          <w:lang w:eastAsia="lv-LV"/>
        </w:rPr>
        <w:t>informāciju pamatotu produkta riska un peļņas novērtējumu.</w:t>
      </w:r>
    </w:p>
    <w:p w14:paraId="2872D725" w14:textId="0839EE52"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Kopīgā ietekme, ko rada cenas struktūra un maksu par darījumu piemērošana katrai operācijai, ir tāda, ka vairākums privāto klientu kopumā zaudē naudu (lai gan tie gūst īstermiņa peļņu) un pārdevēji, kas parasti ir tieši operācijas darījuma partneri, ilgtermiņā gūst peļņu no klientiem, pateicoties to zaudējumiem operācijās un samaksātajām maksām par darījumiem.</w:t>
      </w:r>
      <w:r w:rsidRPr="00046FC6">
        <w:rPr>
          <w:rFonts w:ascii="Times New Roman" w:eastAsia="Times New Roman" w:hAnsi="Times New Roman" w:cs="Times New Roman"/>
          <w:bCs/>
          <w:sz w:val="24"/>
          <w:szCs w:val="24"/>
          <w:vertAlign w:val="superscript"/>
          <w:lang w:eastAsia="lv-LV"/>
        </w:rPr>
        <w:footnoteReference w:id="23"/>
      </w:r>
    </w:p>
    <w:p w14:paraId="1E56EB17" w14:textId="2D1B5D1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Daži pārdevēji piedāvā pastāvīgu dubulto cenu noteikšanu un iespēju klientiem pievienoties un izstāties no operācijas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termiņa laikā. Šādā gadījumā klients var izstāties no operācijas pirms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w:t>
      </w:r>
      <w:r w:rsidR="008A1ED6" w:rsidRPr="00046FC6">
        <w:rPr>
          <w:rFonts w:ascii="Times New Roman" w:eastAsia="Times New Roman" w:hAnsi="Times New Roman" w:cs="Times New Roman"/>
          <w:bCs/>
          <w:sz w:val="24"/>
          <w:szCs w:val="24"/>
          <w:lang w:eastAsia="lv-LV"/>
        </w:rPr>
        <w:t xml:space="preserve">termiņa </w:t>
      </w:r>
      <w:r w:rsidRPr="00046FC6">
        <w:rPr>
          <w:rFonts w:ascii="Times New Roman" w:eastAsia="Times New Roman" w:hAnsi="Times New Roman" w:cs="Times New Roman"/>
          <w:bCs/>
          <w:sz w:val="24"/>
          <w:szCs w:val="24"/>
          <w:lang w:eastAsia="lv-LV"/>
        </w:rPr>
        <w:t>beigām, pārdodot to atpakaļ pārdevējam vai citādi zaudējot nosacīto maksājumu termiņa beigās. Pretī klients saņem kādu maksājumu no pārdevēja atbilstoši pārdevēja piedāvātajai pastāvīg</w:t>
      </w:r>
      <w:r w:rsidR="00DC0A5B" w:rsidRPr="00046FC6">
        <w:rPr>
          <w:rFonts w:ascii="Times New Roman" w:eastAsia="Times New Roman" w:hAnsi="Times New Roman" w:cs="Times New Roman"/>
          <w:bCs/>
          <w:sz w:val="24"/>
          <w:szCs w:val="24"/>
          <w:lang w:eastAsia="lv-LV"/>
        </w:rPr>
        <w:t>aj</w:t>
      </w:r>
      <w:r w:rsidRPr="00046FC6">
        <w:rPr>
          <w:rFonts w:ascii="Times New Roman" w:eastAsia="Times New Roman" w:hAnsi="Times New Roman" w:cs="Times New Roman"/>
          <w:bCs/>
          <w:sz w:val="24"/>
          <w:szCs w:val="24"/>
          <w:lang w:eastAsia="lv-LV"/>
        </w:rPr>
        <w:t>ai cenai atkarībā no atšķirības starp pamatā esošā vērtspapīra aktuālo tirgus cenu un fiksēto vienošanās cenu, kā arī termiņa beigām.</w:t>
      </w:r>
    </w:p>
    <w:p w14:paraId="2C170515" w14:textId="4B89B8FB"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Pastāvīgā</w:t>
      </w:r>
      <w:r w:rsidR="008A1ED6"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dubultās cenas noteikšana ir papildu elements, ko var piedāvāt bināro iespēju līgumu pārdevēji. Šis elements </w:t>
      </w:r>
      <w:r w:rsidR="008A1ED6" w:rsidRPr="00046FC6">
        <w:rPr>
          <w:rFonts w:ascii="Times New Roman" w:eastAsia="Times New Roman" w:hAnsi="Times New Roman" w:cs="Times New Roman"/>
          <w:bCs/>
          <w:sz w:val="24"/>
          <w:szCs w:val="24"/>
          <w:lang w:eastAsia="lv-LV"/>
        </w:rPr>
        <w:t>padara situāciju vēl sarežģītāku</w:t>
      </w:r>
      <w:r w:rsidRPr="00046FC6">
        <w:rPr>
          <w:rFonts w:ascii="Times New Roman" w:eastAsia="Times New Roman" w:hAnsi="Times New Roman" w:cs="Times New Roman"/>
          <w:bCs/>
          <w:sz w:val="24"/>
          <w:szCs w:val="24"/>
          <w:lang w:eastAsia="lv-LV"/>
        </w:rPr>
        <w:t>, jo privātajiem klientiem ir grūti pienācīgi novērtēt šos produktus vai gūt pozitīvu peļņu no ieguldījuma. Tas skaidrojams ar apstākli, ka privātajiem klientiem būtu pastāvīgi jāuzrauga cena un jāprognozē paredzamais rezultāts. Turklāt izstāšanās no operācijas un jaunas operācijas sākšana klientam rada papildu izmaksas, jo piedāvājuma cenai tiek piemērota starpība vai tiek iekasēta maksa par darījumu</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24"/>
      </w:r>
    </w:p>
    <w:p w14:paraId="2478C0B4" w14:textId="3DD58D0D"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Turklāt </w:t>
      </w:r>
      <w:r w:rsidR="00976D99" w:rsidRPr="00046FC6">
        <w:rPr>
          <w:rFonts w:ascii="Times New Roman" w:eastAsia="Times New Roman" w:hAnsi="Times New Roman" w:cs="Times New Roman"/>
          <w:bCs/>
          <w:sz w:val="24"/>
          <w:szCs w:val="24"/>
          <w:lang w:eastAsia="lv-LV"/>
        </w:rPr>
        <w:t>Eiropas Savienīb</w:t>
      </w:r>
      <w:r w:rsidR="00D551DC" w:rsidRPr="00046FC6">
        <w:rPr>
          <w:rFonts w:ascii="Times New Roman" w:eastAsia="Times New Roman" w:hAnsi="Times New Roman" w:cs="Times New Roman"/>
          <w:bCs/>
          <w:sz w:val="24"/>
          <w:szCs w:val="24"/>
          <w:lang w:eastAsia="lv-LV"/>
        </w:rPr>
        <w:t xml:space="preserve">ā </w:t>
      </w:r>
      <w:r w:rsidRPr="00046FC6">
        <w:rPr>
          <w:rFonts w:ascii="Times New Roman" w:eastAsia="Times New Roman" w:hAnsi="Times New Roman" w:cs="Times New Roman"/>
          <w:bCs/>
          <w:sz w:val="24"/>
          <w:szCs w:val="24"/>
          <w:lang w:eastAsia="lv-LV"/>
        </w:rPr>
        <w:t>privātie klienti parasti veic ieguldījumus ārpusbiržas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līgumos. </w:t>
      </w:r>
      <w:r w:rsidR="00DC0A5B" w:rsidRPr="00046FC6">
        <w:rPr>
          <w:rFonts w:ascii="Times New Roman" w:eastAsia="Times New Roman" w:hAnsi="Times New Roman" w:cs="Times New Roman"/>
          <w:bCs/>
          <w:sz w:val="24"/>
          <w:szCs w:val="24"/>
          <w:lang w:eastAsia="lv-LV"/>
        </w:rPr>
        <w:t xml:space="preserve">Līdz ar to </w:t>
      </w:r>
      <w:r w:rsidRPr="00046FC6">
        <w:rPr>
          <w:rFonts w:ascii="Times New Roman" w:eastAsia="Times New Roman" w:hAnsi="Times New Roman" w:cs="Times New Roman"/>
          <w:bCs/>
          <w:sz w:val="24"/>
          <w:szCs w:val="24"/>
          <w:lang w:eastAsia="lv-LV"/>
        </w:rPr>
        <w:t xml:space="preserve">bināro iespēju līgumu cena, izpilde un norēķini nav standartizēti. Tas pasliktina privāto klientu spēju izprast ar produktu saistītos nosacījumus. Šis apstāklis papildus atšķirīgajiem </w:t>
      </w:r>
      <w:r w:rsidR="00976D9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jā/nē priekšlikumu</w:t>
      </w:r>
      <w:r w:rsidR="00976D9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veidiem, kas ir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pamatā, sarežģītajai cenu noteikšanas struktūrai (kas dažkārt ietver dubultās cenas noteikšanu) un vēl sarežģītākiem piedāvājumiem (piemēram, iespēju līgumiem, kas ietver vairāku bināro iespēju līgumu kopu) palielina šo produktu sarežģītību un vēl vairāk mazina klientu spēju saprast, ka </w:t>
      </w:r>
      <w:r w:rsidRPr="00046FC6">
        <w:rPr>
          <w:rFonts w:ascii="Times New Roman" w:eastAsia="Times New Roman" w:hAnsi="Times New Roman" w:cs="Times New Roman"/>
          <w:bCs/>
          <w:sz w:val="24"/>
          <w:szCs w:val="24"/>
          <w:lang w:eastAsia="lv-LV"/>
        </w:rPr>
        <w:lastRenderedPageBreak/>
        <w:t>konkrētas viena veida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w:t>
      </w:r>
      <w:r w:rsidR="008A1ED6"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iezīmes ne vienmēr piemīt cita veida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līgumam.</w:t>
      </w:r>
    </w:p>
    <w:p w14:paraId="1A024590" w14:textId="4490FE85"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Turklāt bināro iespēju līgumu tirgotājs parasti ir tā privāto klientu operāciju darījuma partneris un nosaka cenu izpildes brīdī un maksājum</w:t>
      </w:r>
      <w:r w:rsidR="008A1ED6"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termiņa beigās. Pārdevēji arī bieži pieprasa, lai klienti atzītu, ka cenas, kas tiek izmantotas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vērtības noteikšanai, var atšķirties no attiecīgajā pamata tirgū pieejamās cenas. Tas nozīmē, ka privātie klienti ne vienmēr var pārbaudīt no tirgotāja saņemto cenu atbilstību. Šo faktoru dēļ privātajiem klientiem ir ārkārtīgi grūti objektīvi novērtēt bināro iespēju līgumus. Tādē</w:t>
      </w:r>
      <w:r w:rsidR="00DC0A5B" w:rsidRPr="00046FC6">
        <w:rPr>
          <w:rFonts w:ascii="Times New Roman" w:eastAsia="Times New Roman" w:hAnsi="Times New Roman" w:cs="Times New Roman"/>
          <w:bCs/>
          <w:sz w:val="24"/>
          <w:szCs w:val="24"/>
          <w:lang w:eastAsia="lv-LV"/>
        </w:rPr>
        <w:t>ļ</w:t>
      </w:r>
      <w:r w:rsidRPr="00046FC6">
        <w:rPr>
          <w:rFonts w:ascii="Times New Roman" w:eastAsia="Times New Roman" w:hAnsi="Times New Roman" w:cs="Times New Roman"/>
          <w:bCs/>
          <w:sz w:val="24"/>
          <w:szCs w:val="24"/>
          <w:lang w:eastAsia="lv-LV"/>
        </w:rPr>
        <w:t xml:space="preserve"> ar 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līgumiem saistītā lielā sarežģītība un nepietiekamā pārredzamība apstiprina, ka pastāv būtiskas bažas saistībā ar ieguldītāju aizsardzību.</w:t>
      </w:r>
    </w:p>
    <w:p w14:paraId="258539A5" w14:textId="44C2B4D7" w:rsidR="00B07C82" w:rsidRPr="00046FC6" w:rsidRDefault="00B07C82" w:rsidP="00046FC6">
      <w:pPr>
        <w:tabs>
          <w:tab w:val="decimal" w:pos="426"/>
        </w:tabs>
        <w:spacing w:after="120" w:line="240" w:lineRule="auto"/>
        <w:rPr>
          <w:rFonts w:ascii="Times New Roman" w:eastAsia="Times New Roman" w:hAnsi="Times New Roman" w:cs="Times New Roman"/>
          <w:sz w:val="24"/>
          <w:lang w:eastAsia="lv-LV"/>
        </w:rPr>
      </w:pPr>
      <w:r w:rsidRPr="00046FC6">
        <w:rPr>
          <w:rFonts w:ascii="Times New Roman" w:eastAsia="Times New Roman" w:hAnsi="Times New Roman" w:cs="Times New Roman"/>
          <w:b/>
          <w:sz w:val="24"/>
          <w:szCs w:val="24"/>
          <w:lang w:eastAsia="lv-LV"/>
        </w:rPr>
        <w:t xml:space="preserve">Bināro iespēju līgumu īpašās iezīmes vai sastāvdaļas (Deleģētās regulas </w:t>
      </w:r>
      <w:r w:rsidR="00D551DC" w:rsidRPr="00046FC6">
        <w:rPr>
          <w:rFonts w:ascii="Times New Roman" w:eastAsia="Times New Roman" w:hAnsi="Times New Roman" w:cs="Times New Roman"/>
          <w:b/>
          <w:sz w:val="24"/>
          <w:szCs w:val="24"/>
          <w:lang w:eastAsia="lv-LV"/>
        </w:rPr>
        <w:t xml:space="preserve">Nr. 2017/567 </w:t>
      </w:r>
      <w:r w:rsidRPr="00046FC6">
        <w:rPr>
          <w:rFonts w:ascii="Times New Roman" w:eastAsia="Times New Roman" w:hAnsi="Times New Roman" w:cs="Times New Roman"/>
          <w:b/>
          <w:sz w:val="24"/>
          <w:szCs w:val="24"/>
          <w:lang w:eastAsia="lv-LV"/>
        </w:rPr>
        <w:t>21.</w:t>
      </w:r>
      <w:r w:rsidR="00D551D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D551D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e)</w:t>
      </w:r>
      <w:r w:rsidR="00D551D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61272B49" w14:textId="1A074A1D"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szCs w:val="24"/>
          <w:lang w:eastAsia="lv-LV"/>
        </w:rPr>
        <w:t>Binār</w:t>
      </w:r>
      <w:r w:rsidR="008A1ED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 parasti ir ļoti īsa termiņa ieguldījumi, kuru termiņš dažkārt beidzas dažas minūtes pēc šo ieguldījumu veikšanas, tādē</w:t>
      </w:r>
      <w:r w:rsidR="008468FC" w:rsidRPr="00046FC6">
        <w:rPr>
          <w:rFonts w:ascii="Times New Roman" w:eastAsia="Times New Roman" w:hAnsi="Times New Roman" w:cs="Times New Roman"/>
          <w:bCs/>
          <w:sz w:val="24"/>
          <w:szCs w:val="24"/>
          <w:lang w:eastAsia="lv-LV"/>
        </w:rPr>
        <w:t>ļ</w:t>
      </w:r>
      <w:r w:rsidRPr="00046FC6">
        <w:rPr>
          <w:rFonts w:ascii="Times New Roman" w:eastAsia="Times New Roman" w:hAnsi="Times New Roman" w:cs="Times New Roman"/>
          <w:bCs/>
          <w:sz w:val="24"/>
          <w:szCs w:val="24"/>
          <w:lang w:eastAsia="lv-LV"/>
        </w:rPr>
        <w:t xml:space="preserve"> šie ieguldījumi pēc būtības ir ļoti spekulatīvi. Bināro iespēju līgumu bināro rezultātu raksturs nozīmē, ka </w:t>
      </w:r>
      <w:r w:rsidR="00396B39" w:rsidRPr="00046FC6">
        <w:rPr>
          <w:rFonts w:ascii="Times New Roman" w:eastAsia="Times New Roman" w:hAnsi="Times New Roman" w:cs="Times New Roman"/>
          <w:bCs/>
          <w:sz w:val="24"/>
          <w:szCs w:val="24"/>
          <w:lang w:eastAsia="lv-LV"/>
        </w:rPr>
        <w:t>šie līgumi</w:t>
      </w:r>
      <w:r w:rsidRPr="00046FC6">
        <w:rPr>
          <w:rFonts w:ascii="Times New Roman" w:eastAsia="Times New Roman" w:hAnsi="Times New Roman" w:cs="Times New Roman"/>
          <w:bCs/>
          <w:sz w:val="24"/>
          <w:szCs w:val="24"/>
          <w:lang w:eastAsia="lv-LV"/>
        </w:rPr>
        <w:t xml:space="preserve"> tiek izmantot</w:t>
      </w:r>
      <w:r w:rsidR="00396B39"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galvenokārt spekulatīviem mērķiem. Fiksētas monetārās summas vai nulles maksājums ierobežo bināro iespēju līgumu kā riska ierobežošanas rīka vērtību salīdzinājumā ar tradicionālajiem iespēj</w:t>
      </w:r>
      <w:r w:rsidR="0018681E"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līgumiem, kas ļauj klientam pārvaldīt viņa risku, nosakot griestus vai zemāko punktu attiecībā uz konkrētu aktīvu risku, kuram klient</w:t>
      </w:r>
      <w:r w:rsidR="0018681E"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var būt tiešā veidā pakļaut</w:t>
      </w:r>
      <w:r w:rsidR="0018681E"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To pastiprina binār</w:t>
      </w:r>
      <w:r w:rsidR="0018681E"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līgumam parasti raksturīgais īsais termiņš.</w:t>
      </w:r>
    </w:p>
    <w:p w14:paraId="465F8760" w14:textId="60F51DD9"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szCs w:val="24"/>
          <w:lang w:eastAsia="lv-LV"/>
        </w:rPr>
        <w:t>Turklāt bināro iespēju līgumu cenas tiek noteiktas atbilstīgi notikuma varbūtībai, norādot peļņu līdzīgi kā tradicionālo fiksētas likmes derību gadījumā (piemēram, derības par sporta pasākumiem vai vēlēšanu rezultātiem). Operācijām parasti ir ļoti īss termiņš, un ieguldītāji var gūt ļoti lielu peļņu vai zaudēt visu savu ieguldījumu. Šādas pamatīpatnības ir raksturīgas arī azartspēļu produktiem, kas ir saistīti ar atkarības rašanos un negatīviem rezultātiem patērētājiem.</w:t>
      </w:r>
    </w:p>
    <w:p w14:paraId="0047C1A8" w14:textId="24B304CB"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szCs w:val="24"/>
          <w:lang w:eastAsia="lv-LV"/>
        </w:rPr>
        <w:t>Kā minēts iepriekš, bināro iespēju līgumu pārdevēji parasti rīkojas kā tiešs klienta operācijas darījuma partneris, tādējādi iekļaujot klienta operāciju savā uzskaitē. Šis uzņēmējdarbības modelis nostāda pārdevēja intereses tiešā konfliktā ar tā klientu interesēm, tādējādi palielinot risku, ka pārdevējs, beidzoties binār</w:t>
      </w:r>
      <w:r w:rsidR="0018681E"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termiņam, varētu manipulēt ar pamatā esošā vērtspapīra cenu vai paildzināt binār</w:t>
      </w:r>
      <w:r w:rsidR="0018681E"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līguma termiņu par sekundēm vai milisekundēm, lai izvairītos no maksājuma veikšanas</w:t>
      </w:r>
      <w:r w:rsidR="0018681E" w:rsidRPr="00046FC6">
        <w:rPr>
          <w:rFonts w:ascii="Times New Roman" w:eastAsia="Times New Roman" w:hAnsi="Times New Roman" w:cs="Times New Roman"/>
          <w:bCs/>
          <w:sz w:val="24"/>
          <w:szCs w:val="24"/>
          <w:lang w:eastAsia="lv-LV"/>
        </w:rPr>
        <w:t xml:space="preserve"> par līgumu</w:t>
      </w:r>
      <w:r w:rsidRPr="00046FC6">
        <w:rPr>
          <w:rFonts w:ascii="Times New Roman" w:eastAsia="Times New Roman" w:hAnsi="Times New Roman" w:cs="Times New Roman"/>
          <w:bCs/>
          <w:sz w:val="24"/>
          <w:szCs w:val="24"/>
          <w:lang w:eastAsia="lv-LV"/>
        </w:rPr>
        <w:t xml:space="preserve">. Interešu konflikta risks ir īpaši liels bināro iespēju līgumu gadījumā, jo šo produktu maksājumu struktūru nosaka tas, vai pamatā esošais vērtspapīrs, beidzoties termiņam, ir sasniedzis </w:t>
      </w:r>
      <w:r w:rsidR="00583AD6" w:rsidRPr="00046FC6">
        <w:rPr>
          <w:rFonts w:ascii="Times New Roman" w:eastAsia="Times New Roman" w:hAnsi="Times New Roman" w:cs="Times New Roman"/>
          <w:bCs/>
          <w:sz w:val="24"/>
          <w:szCs w:val="24"/>
          <w:lang w:eastAsia="lv-LV"/>
        </w:rPr>
        <w:t xml:space="preserve">norunas </w:t>
      </w:r>
      <w:r w:rsidRPr="00046FC6">
        <w:rPr>
          <w:rFonts w:ascii="Times New Roman" w:eastAsia="Times New Roman" w:hAnsi="Times New Roman" w:cs="Times New Roman"/>
          <w:bCs/>
          <w:sz w:val="24"/>
          <w:szCs w:val="24"/>
          <w:lang w:eastAsia="lv-LV"/>
        </w:rPr>
        <w:t xml:space="preserve">cenu. </w:t>
      </w:r>
      <w:r w:rsidR="00583AD6" w:rsidRPr="00046FC6">
        <w:rPr>
          <w:rFonts w:ascii="Times New Roman" w:eastAsia="Times New Roman" w:hAnsi="Times New Roman" w:cs="Times New Roman"/>
          <w:bCs/>
          <w:sz w:val="24"/>
          <w:szCs w:val="24"/>
          <w:lang w:eastAsia="lv-LV"/>
        </w:rPr>
        <w:t>D</w:t>
      </w:r>
      <w:r w:rsidRPr="00046FC6">
        <w:rPr>
          <w:rFonts w:ascii="Times New Roman" w:eastAsia="Times New Roman" w:hAnsi="Times New Roman" w:cs="Times New Roman"/>
          <w:bCs/>
          <w:sz w:val="24"/>
          <w:szCs w:val="24"/>
          <w:lang w:eastAsia="lv-LV"/>
        </w:rPr>
        <w:t xml:space="preserve">alībvalstu uzraudzības iestādes arī ir konstatējušas </w:t>
      </w:r>
      <w:r w:rsidR="00583AD6" w:rsidRPr="00046FC6">
        <w:rPr>
          <w:rFonts w:ascii="Times New Roman" w:eastAsia="Times New Roman" w:hAnsi="Times New Roman" w:cs="Times New Roman"/>
          <w:bCs/>
          <w:sz w:val="24"/>
          <w:szCs w:val="24"/>
          <w:lang w:eastAsia="lv-LV"/>
        </w:rPr>
        <w:t xml:space="preserve">tādus </w:t>
      </w:r>
      <w:r w:rsidRPr="00046FC6">
        <w:rPr>
          <w:rFonts w:ascii="Times New Roman" w:eastAsia="Times New Roman" w:hAnsi="Times New Roman" w:cs="Times New Roman"/>
          <w:bCs/>
          <w:sz w:val="24"/>
          <w:szCs w:val="24"/>
          <w:lang w:eastAsia="lv-LV"/>
        </w:rPr>
        <w:t>prakses veidus, kuru ietvaros bināro iespēju līgumu pārdevēji galvenaj</w:t>
      </w:r>
      <w:r w:rsidR="00583AD6" w:rsidRPr="00046FC6">
        <w:rPr>
          <w:rFonts w:ascii="Times New Roman" w:eastAsia="Times New Roman" w:hAnsi="Times New Roman" w:cs="Times New Roman"/>
          <w:bCs/>
          <w:sz w:val="24"/>
          <w:szCs w:val="24"/>
          <w:lang w:eastAsia="lv-LV"/>
        </w:rPr>
        <w:t>ai</w:t>
      </w:r>
      <w:r w:rsidRPr="00046FC6">
        <w:rPr>
          <w:rFonts w:ascii="Times New Roman" w:eastAsia="Times New Roman" w:hAnsi="Times New Roman" w:cs="Times New Roman"/>
          <w:bCs/>
          <w:sz w:val="24"/>
          <w:szCs w:val="24"/>
          <w:lang w:eastAsia="lv-LV"/>
        </w:rPr>
        <w:t xml:space="preserve"> starpīb</w:t>
      </w:r>
      <w:r w:rsidR="00583AD6" w:rsidRPr="00046FC6">
        <w:rPr>
          <w:rFonts w:ascii="Times New Roman" w:eastAsia="Times New Roman" w:hAnsi="Times New Roman" w:cs="Times New Roman"/>
          <w:bCs/>
          <w:sz w:val="24"/>
          <w:szCs w:val="24"/>
          <w:lang w:eastAsia="lv-LV"/>
        </w:rPr>
        <w:t>ai</w:t>
      </w:r>
      <w:r w:rsidRPr="00046FC6">
        <w:rPr>
          <w:rFonts w:ascii="Times New Roman" w:eastAsia="Times New Roman" w:hAnsi="Times New Roman" w:cs="Times New Roman"/>
          <w:bCs/>
          <w:sz w:val="24"/>
          <w:szCs w:val="24"/>
          <w:lang w:eastAsia="lv-LV"/>
        </w:rPr>
        <w:t xml:space="preserve"> saistībā ar pamatā esošo vērtspapīru piemēro asimetrisku vai nekonsekventu uzcenojumu, kā rezultātā līgums beidzas ar zaudējumiem, lai gan citādi tā termiņa beigās radītu peļņ</w:t>
      </w:r>
      <w:r w:rsidR="00D551DC" w:rsidRPr="00046FC6">
        <w:rPr>
          <w:rFonts w:ascii="Times New Roman" w:eastAsia="Times New Roman" w:hAnsi="Times New Roman" w:cs="Times New Roman"/>
          <w:bCs/>
          <w:sz w:val="24"/>
          <w:szCs w:val="24"/>
          <w:lang w:eastAsia="lv-LV"/>
        </w:rPr>
        <w:t>u</w:t>
      </w:r>
      <w:r w:rsidR="006933E2" w:rsidRPr="00046FC6">
        <w:rPr>
          <w:rFonts w:ascii="Times New Roman" w:eastAsia="Times New Roman" w:hAnsi="Times New Roman" w:cs="Times New Roman"/>
          <w:bCs/>
          <w:sz w:val="24"/>
          <w:szCs w:val="24"/>
          <w:lang w:eastAsia="lv-LV"/>
        </w:rPr>
        <w:t>.</w:t>
      </w:r>
      <w:r w:rsidR="00D551DC" w:rsidRPr="00046FC6">
        <w:rPr>
          <w:rStyle w:val="FootnoteReference"/>
          <w:rFonts w:ascii="Times New Roman" w:eastAsia="Times New Roman" w:hAnsi="Times New Roman" w:cs="Times New Roman"/>
          <w:bCs/>
          <w:sz w:val="24"/>
          <w:szCs w:val="24"/>
          <w:lang w:eastAsia="lv-LV"/>
        </w:rPr>
        <w:footnoteReference w:id="25"/>
      </w:r>
      <w:r w:rsidRPr="00046FC6">
        <w:rPr>
          <w:rFonts w:ascii="Times New Roman" w:eastAsia="Times New Roman" w:hAnsi="Times New Roman" w:cs="Times New Roman"/>
          <w:bCs/>
          <w:sz w:val="24"/>
          <w:szCs w:val="24"/>
          <w:lang w:eastAsia="lv-LV"/>
        </w:rPr>
        <w:t xml:space="preserve"> Turklāt izplatīšanas modeļiem, kurus EVTI ir novērojusi šajā tirgus sektorā, piemīt noteikti un dažkārt raksturīgi interešu konflikti</w:t>
      </w:r>
      <w:r w:rsidR="00D551DC" w:rsidRPr="00046FC6">
        <w:rPr>
          <w:rStyle w:val="FootnoteReference"/>
          <w:rFonts w:ascii="Times New Roman" w:eastAsia="Times New Roman" w:hAnsi="Times New Roman" w:cs="Times New Roman"/>
          <w:bCs/>
          <w:sz w:val="24"/>
          <w:szCs w:val="24"/>
          <w:lang w:eastAsia="lv-LV"/>
        </w:rPr>
        <w:footnoteReference w:id="26"/>
      </w:r>
      <w:r w:rsidRPr="00046FC6">
        <w:rPr>
          <w:rFonts w:ascii="Times New Roman" w:eastAsia="Times New Roman" w:hAnsi="Times New Roman" w:cs="Times New Roman"/>
          <w:bCs/>
          <w:sz w:val="24"/>
          <w:szCs w:val="24"/>
          <w:lang w:eastAsia="lv-LV"/>
        </w:rPr>
        <w:t>, un spiediens nodrošināt jaunu klientu plūsmu palielina interešu konfliktu rašanās iespēju.</w:t>
      </w:r>
    </w:p>
    <w:p w14:paraId="4691C5F0" w14:textId="10363BDE" w:rsidR="00B07C82" w:rsidRPr="00046FC6" w:rsidRDefault="0055490D"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B</w:t>
      </w:r>
      <w:r w:rsidR="00B07C82" w:rsidRPr="00046FC6">
        <w:rPr>
          <w:rFonts w:ascii="Times New Roman" w:eastAsia="Times New Roman" w:hAnsi="Times New Roman" w:cs="Times New Roman"/>
          <w:bCs/>
          <w:sz w:val="24"/>
          <w:szCs w:val="24"/>
          <w:lang w:eastAsia="lv-LV"/>
        </w:rPr>
        <w:t>inār</w:t>
      </w:r>
      <w:r w:rsidRPr="00046FC6">
        <w:rPr>
          <w:rFonts w:ascii="Times New Roman" w:eastAsia="Times New Roman" w:hAnsi="Times New Roman" w:cs="Times New Roman"/>
          <w:bCs/>
          <w:sz w:val="24"/>
          <w:szCs w:val="24"/>
          <w:lang w:eastAsia="lv-LV"/>
        </w:rPr>
        <w:t>o</w:t>
      </w:r>
      <w:r w:rsidR="00B07C82" w:rsidRPr="00046FC6">
        <w:rPr>
          <w:rFonts w:ascii="Times New Roman" w:eastAsia="Times New Roman" w:hAnsi="Times New Roman" w:cs="Times New Roman"/>
          <w:bCs/>
          <w:sz w:val="24"/>
          <w:szCs w:val="24"/>
          <w:lang w:eastAsia="lv-LV"/>
        </w:rPr>
        <w:t xml:space="preserve"> iespēju līgumam strukturāli ir negatīva paredzamā peļņa, </w:t>
      </w:r>
      <w:r w:rsidRPr="00046FC6">
        <w:rPr>
          <w:rFonts w:ascii="Times New Roman" w:eastAsia="Times New Roman" w:hAnsi="Times New Roman" w:cs="Times New Roman"/>
          <w:bCs/>
          <w:sz w:val="24"/>
          <w:szCs w:val="24"/>
          <w:lang w:eastAsia="lv-LV"/>
        </w:rPr>
        <w:t xml:space="preserve">proti, </w:t>
      </w:r>
      <w:r w:rsidR="00B07C82" w:rsidRPr="00046FC6">
        <w:rPr>
          <w:rFonts w:ascii="Times New Roman" w:eastAsia="Times New Roman" w:hAnsi="Times New Roman" w:cs="Times New Roman"/>
          <w:bCs/>
          <w:sz w:val="24"/>
          <w:szCs w:val="24"/>
          <w:lang w:eastAsia="lv-LV"/>
        </w:rPr>
        <w:t>jo vairāk darījumu ieguldītājs veic, jo lielāka iespēja, ka tas kumulatīvi zaudēs naudu. Piemēram, tāda binār</w:t>
      </w:r>
      <w:r w:rsidRPr="00046FC6">
        <w:rPr>
          <w:rFonts w:ascii="Times New Roman" w:eastAsia="Times New Roman" w:hAnsi="Times New Roman" w:cs="Times New Roman"/>
          <w:bCs/>
          <w:sz w:val="24"/>
          <w:szCs w:val="24"/>
          <w:lang w:eastAsia="lv-LV"/>
        </w:rPr>
        <w:t>o</w:t>
      </w:r>
      <w:r w:rsidR="00B07C82" w:rsidRPr="00046FC6">
        <w:rPr>
          <w:rFonts w:ascii="Times New Roman" w:eastAsia="Times New Roman" w:hAnsi="Times New Roman" w:cs="Times New Roman"/>
          <w:bCs/>
          <w:sz w:val="24"/>
          <w:szCs w:val="24"/>
          <w:lang w:eastAsia="lv-LV"/>
        </w:rPr>
        <w:t xml:space="preserve"> iespēju līguma gadījumā, kur</w:t>
      </w:r>
      <w:r w:rsidRPr="00046FC6">
        <w:rPr>
          <w:rFonts w:ascii="Times New Roman" w:eastAsia="Times New Roman" w:hAnsi="Times New Roman" w:cs="Times New Roman"/>
          <w:bCs/>
          <w:sz w:val="24"/>
          <w:szCs w:val="24"/>
          <w:lang w:eastAsia="lv-LV"/>
        </w:rPr>
        <w:t>a</w:t>
      </w:r>
      <w:r w:rsidR="00B07C82" w:rsidRPr="00046FC6">
        <w:rPr>
          <w:rFonts w:ascii="Times New Roman" w:eastAsia="Times New Roman" w:hAnsi="Times New Roman" w:cs="Times New Roman"/>
          <w:bCs/>
          <w:sz w:val="24"/>
          <w:szCs w:val="24"/>
          <w:lang w:eastAsia="lv-LV"/>
        </w:rPr>
        <w:t xml:space="preserve"> ietvaros peļņas varbūtība ir 50</w:t>
      </w:r>
      <w:r w:rsidR="008468FC"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un peļņas likme ir 80</w:t>
      </w:r>
      <w:r w:rsidR="008468FC"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xml:space="preserve">% no </w:t>
      </w:r>
      <w:r w:rsidR="00B07C82" w:rsidRPr="00046FC6">
        <w:rPr>
          <w:rFonts w:ascii="Times New Roman" w:eastAsia="Times New Roman" w:hAnsi="Times New Roman" w:cs="Times New Roman"/>
          <w:bCs/>
          <w:sz w:val="24"/>
          <w:szCs w:val="24"/>
          <w:lang w:eastAsia="lv-LV"/>
        </w:rPr>
        <w:lastRenderedPageBreak/>
        <w:t>ieguldītās summas, ja līgums noslēdzas ar peļņu, ieguldītājs saskaras ar aptuveni 75</w:t>
      </w:r>
      <w:r w:rsidR="008468FC"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varbūtību</w:t>
      </w:r>
      <w:r w:rsidRPr="00046FC6">
        <w:rPr>
          <w:rFonts w:ascii="Times New Roman" w:eastAsia="Times New Roman" w:hAnsi="Times New Roman" w:cs="Times New Roman"/>
          <w:bCs/>
          <w:sz w:val="24"/>
          <w:szCs w:val="24"/>
          <w:lang w:eastAsia="lv-LV"/>
        </w:rPr>
        <w:t xml:space="preserve"> ciest </w:t>
      </w:r>
      <w:r w:rsidR="00B07C82" w:rsidRPr="00046FC6">
        <w:rPr>
          <w:rFonts w:ascii="Times New Roman" w:eastAsia="Times New Roman" w:hAnsi="Times New Roman" w:cs="Times New Roman"/>
          <w:bCs/>
          <w:sz w:val="24"/>
          <w:szCs w:val="24"/>
          <w:lang w:eastAsia="lv-LV"/>
        </w:rPr>
        <w:t>kumulatīvus zaudējumus 20</w:t>
      </w:r>
      <w:r w:rsidR="00D551DC"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darījumos.</w:t>
      </w:r>
      <w:r w:rsidR="00B07C82" w:rsidRPr="00046FC6">
        <w:rPr>
          <w:rFonts w:ascii="Times New Roman" w:eastAsia="Times New Roman" w:hAnsi="Times New Roman" w:cs="Times New Roman"/>
          <w:sz w:val="24"/>
          <w:vertAlign w:val="superscript"/>
          <w:lang w:eastAsia="lv-LV"/>
        </w:rPr>
        <w:footnoteReference w:id="27"/>
      </w:r>
    </w:p>
    <w:p w14:paraId="597FDDA2" w14:textId="70F83966"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Lielais risks, ka binār</w:t>
      </w:r>
      <w:r w:rsidR="0055490D"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līgums tiek tirgots spekulatīvos nolūkos un ka starp bināro iespēju līgumu tirgotājiem un to klientiem pastāv interešu konflikts, apstiprina būtisku bažu pastāvēšanu attiecībā uz ieguldītāju aizsardzību.</w:t>
      </w:r>
    </w:p>
    <w:p w14:paraId="196682B8" w14:textId="02CB9373" w:rsidR="00B07C82" w:rsidRPr="00046FC6" w:rsidRDefault="0066539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 xml:space="preserve">Iespējamo </w:t>
      </w:r>
      <w:r w:rsidR="00B07C82" w:rsidRPr="00046FC6">
        <w:rPr>
          <w:rFonts w:ascii="Times New Roman" w:eastAsia="Times New Roman" w:hAnsi="Times New Roman" w:cs="Times New Roman"/>
          <w:b/>
          <w:sz w:val="24"/>
          <w:szCs w:val="24"/>
          <w:lang w:eastAsia="lv-LV"/>
        </w:rPr>
        <w:t xml:space="preserve">nelabvēlīgo seku apmērs un neatbilstības starp sagaidāmo ieguldītāja peļņu un zaudējumu risku apmērs (Deleģētās </w:t>
      </w:r>
      <w:r w:rsidR="001768C9" w:rsidRPr="00046FC6">
        <w:rPr>
          <w:rFonts w:ascii="Times New Roman" w:eastAsia="Times New Roman" w:hAnsi="Times New Roman" w:cs="Times New Roman"/>
          <w:b/>
          <w:sz w:val="24"/>
          <w:szCs w:val="24"/>
          <w:lang w:eastAsia="lv-LV"/>
        </w:rPr>
        <w:t>r</w:t>
      </w:r>
      <w:r w:rsidR="00B07C82" w:rsidRPr="00046FC6">
        <w:rPr>
          <w:rFonts w:ascii="Times New Roman" w:eastAsia="Times New Roman" w:hAnsi="Times New Roman" w:cs="Times New Roman"/>
          <w:b/>
          <w:sz w:val="24"/>
          <w:szCs w:val="24"/>
          <w:lang w:eastAsia="lv-LV"/>
        </w:rPr>
        <w:t xml:space="preserve">egulas </w:t>
      </w:r>
      <w:r w:rsidR="001768C9" w:rsidRPr="00046FC6">
        <w:rPr>
          <w:rFonts w:ascii="Times New Roman" w:eastAsia="Times New Roman" w:hAnsi="Times New Roman" w:cs="Times New Roman"/>
          <w:b/>
          <w:sz w:val="24"/>
          <w:szCs w:val="24"/>
          <w:lang w:eastAsia="lv-LV"/>
        </w:rPr>
        <w:t xml:space="preserve">Nr. 2017/567 </w:t>
      </w:r>
      <w:r w:rsidR="00B07C82" w:rsidRPr="00046FC6">
        <w:rPr>
          <w:rFonts w:ascii="Times New Roman" w:eastAsia="Times New Roman" w:hAnsi="Times New Roman" w:cs="Times New Roman"/>
          <w:b/>
          <w:sz w:val="24"/>
          <w:szCs w:val="24"/>
          <w:lang w:eastAsia="lv-LV"/>
        </w:rPr>
        <w:t>21.</w:t>
      </w:r>
      <w:r w:rsidR="001768C9" w:rsidRPr="00046FC6">
        <w:rPr>
          <w:rFonts w:ascii="Times New Roman" w:eastAsia="Times New Roman" w:hAnsi="Times New Roman" w:cs="Times New Roman"/>
          <w:b/>
          <w:sz w:val="24"/>
          <w:szCs w:val="24"/>
          <w:lang w:eastAsia="lv-LV"/>
        </w:rPr>
        <w:t> </w:t>
      </w:r>
      <w:r w:rsidR="00B07C82" w:rsidRPr="00046FC6">
        <w:rPr>
          <w:rFonts w:ascii="Times New Roman" w:eastAsia="Times New Roman" w:hAnsi="Times New Roman" w:cs="Times New Roman"/>
          <w:b/>
          <w:sz w:val="24"/>
          <w:szCs w:val="24"/>
          <w:lang w:eastAsia="lv-LV"/>
        </w:rPr>
        <w:t>panta 2.</w:t>
      </w:r>
      <w:r w:rsidR="001768C9" w:rsidRPr="00046FC6">
        <w:rPr>
          <w:rFonts w:ascii="Times New Roman" w:eastAsia="Times New Roman" w:hAnsi="Times New Roman" w:cs="Times New Roman"/>
          <w:b/>
          <w:sz w:val="24"/>
          <w:szCs w:val="24"/>
          <w:lang w:eastAsia="lv-LV"/>
        </w:rPr>
        <w:t> </w:t>
      </w:r>
      <w:r w:rsidR="00B07C82" w:rsidRPr="00046FC6">
        <w:rPr>
          <w:rFonts w:ascii="Times New Roman" w:eastAsia="Times New Roman" w:hAnsi="Times New Roman" w:cs="Times New Roman"/>
          <w:b/>
          <w:sz w:val="24"/>
          <w:szCs w:val="24"/>
          <w:lang w:eastAsia="lv-LV"/>
        </w:rPr>
        <w:t>punkta b) un f)</w:t>
      </w:r>
      <w:r w:rsidR="001768C9" w:rsidRPr="00046FC6">
        <w:rPr>
          <w:rFonts w:ascii="Times New Roman" w:eastAsia="Times New Roman" w:hAnsi="Times New Roman" w:cs="Times New Roman"/>
          <w:b/>
          <w:sz w:val="24"/>
          <w:szCs w:val="24"/>
          <w:lang w:eastAsia="lv-LV"/>
        </w:rPr>
        <w:t> </w:t>
      </w:r>
      <w:r w:rsidR="00B07C82" w:rsidRPr="00046FC6">
        <w:rPr>
          <w:rFonts w:ascii="Times New Roman" w:eastAsia="Times New Roman" w:hAnsi="Times New Roman" w:cs="Times New Roman"/>
          <w:b/>
          <w:sz w:val="24"/>
          <w:szCs w:val="24"/>
          <w:lang w:eastAsia="lv-LV"/>
        </w:rPr>
        <w:t>apakšpunkts)</w:t>
      </w:r>
    </w:p>
    <w:p w14:paraId="0E3337C9" w14:textId="78F73AE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Pirms bināro iespēju līgumu intervences EVTI un dalībvalstu uzraudzības iestādes bija paudušas bažas par to, ka visā </w:t>
      </w:r>
      <w:r w:rsidR="0055490D" w:rsidRPr="00046FC6">
        <w:rPr>
          <w:rFonts w:ascii="Times New Roman" w:eastAsia="Times New Roman" w:hAnsi="Times New Roman" w:cs="Times New Roman"/>
          <w:bCs/>
          <w:sz w:val="24"/>
          <w:szCs w:val="24"/>
          <w:lang w:eastAsia="lv-LV"/>
        </w:rPr>
        <w:t>Eiropas Savienībā</w:t>
      </w:r>
      <w:r w:rsidRPr="00046FC6">
        <w:rPr>
          <w:rFonts w:ascii="Times New Roman" w:eastAsia="Times New Roman" w:hAnsi="Times New Roman" w:cs="Times New Roman"/>
          <w:bCs/>
          <w:sz w:val="24"/>
          <w:szCs w:val="24"/>
          <w:lang w:eastAsia="lv-LV"/>
        </w:rPr>
        <w:t xml:space="preserve"> pieaug to privāto klientu skaits, kuri iegādājas bināro iespēju līgumus. Šīs bažas apstiprina arī daudzās sūdzības, kas saņemtas no privātajiem klientiem visā </w:t>
      </w:r>
      <w:r w:rsidR="0055490D" w:rsidRPr="00046FC6">
        <w:rPr>
          <w:rFonts w:ascii="Times New Roman" w:eastAsia="Times New Roman" w:hAnsi="Times New Roman" w:cs="Times New Roman"/>
          <w:bCs/>
          <w:sz w:val="24"/>
          <w:szCs w:val="24"/>
          <w:lang w:eastAsia="lv-LV"/>
        </w:rPr>
        <w:t>Eiropas Savienībā</w:t>
      </w:r>
      <w:r w:rsidRPr="00046FC6">
        <w:rPr>
          <w:rFonts w:ascii="Times New Roman" w:eastAsia="Times New Roman" w:hAnsi="Times New Roman" w:cs="Times New Roman"/>
          <w:bCs/>
          <w:sz w:val="24"/>
          <w:szCs w:val="24"/>
          <w:lang w:eastAsia="lv-LV"/>
        </w:rPr>
        <w:t>, kuri ir cietuši ievērojamus zaudējumus, iegādājoties bināro iespēju līgumus.</w:t>
      </w:r>
    </w:p>
    <w:p w14:paraId="5DEFCC72" w14:textId="0FDDBDC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EVTI analīzi par privāto klientu paredzamo negatīvo peļņu</w:t>
      </w:r>
      <w:r w:rsidRPr="00046FC6">
        <w:rPr>
          <w:rFonts w:ascii="Times New Roman" w:eastAsia="Times New Roman" w:hAnsi="Times New Roman" w:cs="Times New Roman"/>
          <w:sz w:val="24"/>
          <w:vertAlign w:val="superscript"/>
          <w:lang w:eastAsia="lv-LV"/>
        </w:rPr>
        <w:footnoteReference w:id="28"/>
      </w:r>
      <w:r w:rsidRPr="00046FC6">
        <w:rPr>
          <w:rFonts w:ascii="Times New Roman" w:eastAsia="Times New Roman" w:hAnsi="Times New Roman" w:cs="Times New Roman"/>
          <w:bCs/>
          <w:sz w:val="24"/>
          <w:szCs w:val="24"/>
          <w:vertAlign w:val="superscript"/>
          <w:lang w:eastAsia="lv-LV"/>
        </w:rPr>
        <w:t xml:space="preserve"> </w:t>
      </w:r>
      <w:r w:rsidRPr="00046FC6">
        <w:rPr>
          <w:rFonts w:ascii="Times New Roman" w:eastAsia="Times New Roman" w:hAnsi="Times New Roman" w:cs="Times New Roman"/>
          <w:bCs/>
          <w:sz w:val="24"/>
          <w:szCs w:val="24"/>
          <w:lang w:eastAsia="lv-LV"/>
        </w:rPr>
        <w:t>apstiprina arī dati par privāto klientu ciestajiem zaudējumiem, par kuriem EVTI ziņojušas atsevišķas dalībvalstu uzraudzības iestādes:</w:t>
      </w:r>
    </w:p>
    <w:p w14:paraId="5383149E" w14:textId="1552E201" w:rsidR="00B07C82" w:rsidRPr="00046FC6" w:rsidRDefault="00B07C82" w:rsidP="00220999">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a) </w:t>
      </w:r>
      <w:r w:rsidR="008631E9" w:rsidRPr="00046FC6">
        <w:rPr>
          <w:rFonts w:ascii="Times New Roman" w:eastAsia="Times New Roman" w:hAnsi="Times New Roman" w:cs="Times New Roman"/>
          <w:bCs/>
          <w:sz w:val="24"/>
          <w:lang w:eastAsia="lv-LV"/>
        </w:rPr>
        <w:t xml:space="preserve">Kipras Vērtspapīru un biržu komisija </w:t>
      </w:r>
      <w:r w:rsidRPr="00046FC6">
        <w:rPr>
          <w:rFonts w:ascii="Times New Roman" w:eastAsia="Times New Roman" w:hAnsi="Times New Roman" w:cs="Times New Roman"/>
          <w:bCs/>
          <w:sz w:val="24"/>
          <w:szCs w:val="24"/>
          <w:lang w:eastAsia="lv-LV"/>
        </w:rPr>
        <w:t>veica analīzi, kurā tā aplūkoja 10</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bināro iespēju līgumu pārdevēju bināro iespēju līgumu klientu kontu izlasi laikposmā no 2017.</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1.</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janvāra līdz 2017.</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31.</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augustam. Tā konstatēja, ka vidēji 87</w:t>
      </w:r>
      <w:r w:rsidR="008468F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klientu kontu šajā periodā cieta zaudējumus. Vidējie konta zaudējumi bija aptuveni 480</w:t>
      </w:r>
      <w:r w:rsidR="001768C9" w:rsidRPr="00046FC6">
        <w:rPr>
          <w:rFonts w:ascii="Times New Roman" w:eastAsia="Times New Roman" w:hAnsi="Times New Roman" w:cs="Times New Roman"/>
          <w:bCs/>
          <w:sz w:val="24"/>
          <w:szCs w:val="24"/>
          <w:lang w:eastAsia="lv-LV"/>
        </w:rPr>
        <w:t> </w:t>
      </w:r>
      <w:r w:rsidR="00DE6BAB" w:rsidRPr="00046FC6">
        <w:rPr>
          <w:rFonts w:ascii="Times New Roman" w:eastAsia="Times New Roman" w:hAnsi="Times New Roman" w:cs="Times New Roman"/>
          <w:bCs/>
          <w:sz w:val="24"/>
          <w:szCs w:val="24"/>
          <w:lang w:eastAsia="lv-LV"/>
        </w:rPr>
        <w:t>EUR</w:t>
      </w:r>
      <w:r w:rsidRPr="00046FC6">
        <w:rPr>
          <w:rFonts w:ascii="Times New Roman" w:eastAsia="Times New Roman" w:hAnsi="Times New Roman" w:cs="Times New Roman"/>
          <w:bCs/>
          <w:sz w:val="24"/>
          <w:szCs w:val="24"/>
          <w:lang w:eastAsia="lv-LV"/>
        </w:rPr>
        <w:t>;</w:t>
      </w:r>
    </w:p>
    <w:p w14:paraId="29E8143E" w14:textId="2920B126" w:rsidR="00B07C82" w:rsidRPr="00046FC6" w:rsidRDefault="00B07C82" w:rsidP="00220999">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b) Polijas </w:t>
      </w:r>
      <w:r w:rsidR="008468FC" w:rsidRPr="00046FC6">
        <w:rPr>
          <w:rFonts w:ascii="Times New Roman" w:eastAsia="Times New Roman" w:hAnsi="Times New Roman" w:cs="Times New Roman"/>
          <w:bCs/>
          <w:sz w:val="24"/>
          <w:szCs w:val="24"/>
          <w:lang w:eastAsia="lv-LV"/>
        </w:rPr>
        <w:t xml:space="preserve">Finanšu </w:t>
      </w:r>
      <w:r w:rsidR="008631E9" w:rsidRPr="00046FC6">
        <w:rPr>
          <w:rFonts w:ascii="Times New Roman" w:eastAsia="Times New Roman" w:hAnsi="Times New Roman" w:cs="Times New Roman"/>
          <w:bCs/>
          <w:sz w:val="24"/>
          <w:szCs w:val="24"/>
          <w:lang w:eastAsia="lv-LV"/>
        </w:rPr>
        <w:t xml:space="preserve">uzraudzības iestāde </w:t>
      </w:r>
      <w:r w:rsidRPr="00046FC6">
        <w:rPr>
          <w:rFonts w:ascii="Times New Roman" w:eastAsia="Times New Roman" w:hAnsi="Times New Roman" w:cs="Times New Roman"/>
          <w:bCs/>
          <w:sz w:val="24"/>
          <w:szCs w:val="24"/>
          <w:lang w:eastAsia="lv-LV"/>
        </w:rPr>
        <w:t>(</w:t>
      </w:r>
      <w:r w:rsidR="008631E9" w:rsidRPr="00046FC6">
        <w:rPr>
          <w:rFonts w:ascii="Times New Roman" w:eastAsia="Times New Roman" w:hAnsi="Times New Roman" w:cs="Times New Roman"/>
          <w:bCs/>
          <w:sz w:val="24"/>
          <w:lang w:eastAsia="lv-LV"/>
        </w:rPr>
        <w:t xml:space="preserve">turpmāk – </w:t>
      </w:r>
      <w:r w:rsidRPr="00046FC6">
        <w:rPr>
          <w:rFonts w:ascii="Times New Roman" w:eastAsia="Times New Roman" w:hAnsi="Times New Roman" w:cs="Times New Roman"/>
          <w:bCs/>
          <w:sz w:val="24"/>
          <w:szCs w:val="24"/>
          <w:lang w:eastAsia="lv-LV"/>
        </w:rPr>
        <w:t>PL-KNF), pamatojoties uz Polijas ieguldījumu brokeru sabiedrību datiem, konstatēja, ka 2016.</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gadā naudu zaudēja 86</w:t>
      </w:r>
      <w:r w:rsidR="008468FC"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3</w:t>
      </w:r>
      <w:r w:rsidR="008468F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un 2017.</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gadā</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86</w:t>
      </w:r>
      <w:r w:rsidR="00075145"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4</w:t>
      </w:r>
      <w:r w:rsidR="008468F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klientu</w:t>
      </w:r>
      <w:r w:rsidR="008468FC" w:rsidRPr="00046FC6">
        <w:rPr>
          <w:rFonts w:ascii="Times New Roman" w:eastAsia="Times New Roman" w:hAnsi="Times New Roman" w:cs="Times New Roman"/>
          <w:bCs/>
          <w:sz w:val="24"/>
          <w:szCs w:val="24"/>
          <w:lang w:eastAsia="lv-LV"/>
        </w:rPr>
        <w:t>;</w:t>
      </w:r>
    </w:p>
    <w:p w14:paraId="6500CEE3" w14:textId="000927B9" w:rsidR="00B07C82" w:rsidRPr="00046FC6" w:rsidRDefault="00B07C82" w:rsidP="00220999">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c) </w:t>
      </w:r>
      <w:bookmarkStart w:id="11" w:name="_Hlk175124697"/>
      <w:r w:rsidR="00D363A5" w:rsidRPr="00046FC6">
        <w:rPr>
          <w:rFonts w:ascii="Times New Roman" w:eastAsia="Times New Roman" w:hAnsi="Times New Roman" w:cs="Times New Roman"/>
          <w:bCs/>
          <w:sz w:val="24"/>
          <w:lang w:eastAsia="lv-LV"/>
        </w:rPr>
        <w:t xml:space="preserve">Itālijas Nacionālā uzņēmumu un biržas komisija </w:t>
      </w:r>
      <w:bookmarkEnd w:id="11"/>
      <w:r w:rsidR="00D363A5" w:rsidRPr="00046FC6">
        <w:rPr>
          <w:rFonts w:ascii="Times New Roman" w:eastAsia="Times New Roman" w:hAnsi="Times New Roman" w:cs="Times New Roman"/>
          <w:bCs/>
          <w:sz w:val="24"/>
          <w:lang w:eastAsia="lv-LV"/>
        </w:rPr>
        <w:t>(turpmāk – IT-CONSOB)</w:t>
      </w:r>
      <w:r w:rsidRPr="00046FC6">
        <w:rPr>
          <w:rFonts w:ascii="Times New Roman" w:eastAsia="Times New Roman" w:hAnsi="Times New Roman" w:cs="Times New Roman"/>
          <w:bCs/>
          <w:sz w:val="24"/>
          <w:szCs w:val="24"/>
          <w:lang w:eastAsia="lv-LV"/>
        </w:rPr>
        <w:t>, pamatojoties uz 2017.</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gada martā veiktu apsekojumu piecās </w:t>
      </w:r>
      <w:r w:rsidR="001768C9" w:rsidRPr="00046FC6">
        <w:rPr>
          <w:rFonts w:ascii="Times New Roman" w:eastAsia="Times New Roman" w:hAnsi="Times New Roman" w:cs="Times New Roman"/>
          <w:bCs/>
          <w:sz w:val="24"/>
          <w:szCs w:val="24"/>
          <w:lang w:eastAsia="lv-LV"/>
        </w:rPr>
        <w:t>Eiropas Savienības</w:t>
      </w:r>
      <w:r w:rsidRPr="00046FC6">
        <w:rPr>
          <w:rFonts w:ascii="Times New Roman" w:eastAsia="Times New Roman" w:hAnsi="Times New Roman" w:cs="Times New Roman"/>
          <w:bCs/>
          <w:sz w:val="24"/>
          <w:szCs w:val="24"/>
          <w:lang w:eastAsia="lv-LV"/>
        </w:rPr>
        <w:t xml:space="preserve"> ieguldījumu brokeru sabiedrību filiālēs, kas aktīvi darbojas bināro iespēju līgumu jomā, konstatēja, ka Itālijas privātie klienti, kuri veic ieguldījumus binār</w:t>
      </w:r>
      <w:r w:rsidR="00530644"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līgumos, 2016.</w:t>
      </w:r>
      <w:r w:rsidR="00A6115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gadā cieta zaudējumus līdz pat 74</w:t>
      </w:r>
      <w:r w:rsidR="00A6115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apmērā, vidējam zaudējumu apmēram sasniedzot aptuveni 590</w:t>
      </w:r>
      <w:r w:rsidR="001768C9" w:rsidRPr="00046FC6">
        <w:rPr>
          <w:rFonts w:ascii="Times New Roman" w:eastAsia="Times New Roman" w:hAnsi="Times New Roman" w:cs="Times New Roman"/>
          <w:bCs/>
          <w:sz w:val="24"/>
          <w:szCs w:val="24"/>
          <w:lang w:eastAsia="lv-LV"/>
        </w:rPr>
        <w:t> </w:t>
      </w:r>
      <w:r w:rsidR="00DE6BAB" w:rsidRPr="00046FC6">
        <w:rPr>
          <w:rFonts w:ascii="Times New Roman" w:eastAsia="Times New Roman" w:hAnsi="Times New Roman" w:cs="Times New Roman"/>
          <w:bCs/>
          <w:sz w:val="24"/>
          <w:szCs w:val="24"/>
          <w:lang w:eastAsia="lv-LV"/>
        </w:rPr>
        <w:t>EUR</w:t>
      </w:r>
      <w:r w:rsidR="001768C9" w:rsidRPr="00046FC6">
        <w:rPr>
          <w:rFonts w:ascii="Times New Roman" w:eastAsia="Times New Roman" w:hAnsi="Times New Roman" w:cs="Times New Roman"/>
          <w:bCs/>
          <w:sz w:val="24"/>
          <w:szCs w:val="24"/>
          <w:lang w:eastAsia="lv-LV"/>
        </w:rPr>
        <w:t>;</w:t>
      </w:r>
    </w:p>
    <w:p w14:paraId="0AAAC4E7" w14:textId="29867589" w:rsidR="00B07C82" w:rsidRPr="00046FC6" w:rsidRDefault="00B07C82" w:rsidP="00220999">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d) UK-FCA, pamatojoties uz sabiedrību pārskatu par klientu kontu rezultātiem 2016.</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gadā, konstatēja, ka 81–85</w:t>
      </w:r>
      <w:r w:rsidR="00A6115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 klientu kontu zaudēja naudu un ka zaudējumi vidēji sasniedza 400 līdz 1200 </w:t>
      </w:r>
      <w:r w:rsidR="008468FC" w:rsidRPr="00046FC6">
        <w:rPr>
          <w:rFonts w:ascii="Times New Roman" w:eastAsia="Times New Roman" w:hAnsi="Times New Roman" w:cs="Times New Roman"/>
          <w:bCs/>
          <w:sz w:val="24"/>
          <w:szCs w:val="24"/>
          <w:lang w:eastAsia="lv-LV"/>
        </w:rPr>
        <w:t>GBP</w:t>
      </w:r>
      <w:r w:rsidRPr="00046FC6">
        <w:rPr>
          <w:rFonts w:ascii="Times New Roman" w:eastAsia="Times New Roman" w:hAnsi="Times New Roman" w:cs="Times New Roman"/>
          <w:bCs/>
          <w:sz w:val="24"/>
          <w:szCs w:val="24"/>
          <w:lang w:eastAsia="lv-LV"/>
        </w:rPr>
        <w:t>. Ziņotie dati liecina, ka klienti guva peļņu no operācijām, bet cieta zaudējumus, ņemot vērā maksu par darījumiem ietekmi. Tas liecina, ka klienti, iespējams, nesaprot, kā viņu konta darbības rezultātus ietekmē maksas par darījumiem.</w:t>
      </w:r>
    </w:p>
    <w:p w14:paraId="32EEA4C6" w14:textId="1178708F"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Lai novērtētu, kā un cik lielā mērā binār</w:t>
      </w:r>
      <w:r w:rsidR="00530644"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 rada risku ieguldītāju aizsardzībai, EVTI analizēja ieguldītāju peļņas sadalījumu</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sz w:val="24"/>
          <w:vertAlign w:val="superscript"/>
          <w:lang w:eastAsia="lv-LV"/>
        </w:rPr>
        <w:footnoteReference w:id="29"/>
      </w:r>
      <w:r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bCs/>
          <w:sz w:val="24"/>
          <w:szCs w:val="24"/>
          <w:lang w:eastAsia="lv-LV"/>
        </w:rPr>
        <w:t>Šajā analīzē tika identificētas divas svarīgas iezīmes</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sz w:val="24"/>
          <w:vertAlign w:val="superscript"/>
          <w:lang w:eastAsia="lv-LV"/>
        </w:rPr>
        <w:footnoteReference w:id="30"/>
      </w:r>
      <w:r w:rsidRPr="00046FC6">
        <w:rPr>
          <w:rFonts w:ascii="Times New Roman" w:eastAsia="Times New Roman" w:hAnsi="Times New Roman" w:cs="Times New Roman"/>
          <w:bCs/>
          <w:sz w:val="24"/>
          <w:szCs w:val="24"/>
          <w:lang w:eastAsia="lv-LV"/>
        </w:rPr>
        <w:t xml:space="preserve"> Pirmā svarīgā iezīme ir augstais ar binār</w:t>
      </w:r>
      <w:r w:rsidR="00F17B85"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līgumiem saistītais riska līmenis: vispārēja bināro iespēju līgumu iezīme ir tāda, ka ieguldītājs var zaudēt visu ieguldīto summu.</w:t>
      </w:r>
    </w:p>
    <w:p w14:paraId="5154B1AB" w14:textId="3A0ACFE0"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lastRenderedPageBreak/>
        <w:t>Otrā iezīme</w:t>
      </w:r>
      <w:r w:rsidR="001768C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 šā produkta negatīvā paredzamā peļņa. Atšķirībā no finanšu ieguldījumiem </w:t>
      </w:r>
      <w:r w:rsidR="00F17B85" w:rsidRPr="00046FC6">
        <w:rPr>
          <w:rFonts w:ascii="Times New Roman" w:eastAsia="Times New Roman" w:hAnsi="Times New Roman" w:cs="Times New Roman"/>
          <w:bCs/>
          <w:sz w:val="24"/>
          <w:szCs w:val="24"/>
          <w:lang w:eastAsia="lv-LV"/>
        </w:rPr>
        <w:t xml:space="preserve">bināro iespēju </w:t>
      </w:r>
      <w:r w:rsidRPr="00046FC6">
        <w:rPr>
          <w:rFonts w:ascii="Times New Roman" w:eastAsia="Times New Roman" w:hAnsi="Times New Roman" w:cs="Times New Roman"/>
          <w:bCs/>
          <w:sz w:val="24"/>
          <w:szCs w:val="24"/>
          <w:lang w:eastAsia="lv-LV"/>
        </w:rPr>
        <w:t xml:space="preserve">līgumu termiņš parasti ir ļoti īss un </w:t>
      </w:r>
      <w:r w:rsidR="0050545A" w:rsidRPr="00046FC6">
        <w:rPr>
          <w:rFonts w:ascii="Times New Roman" w:eastAsia="Times New Roman" w:hAnsi="Times New Roman" w:cs="Times New Roman"/>
          <w:bCs/>
          <w:sz w:val="24"/>
          <w:szCs w:val="24"/>
          <w:lang w:eastAsia="lv-LV"/>
        </w:rPr>
        <w:t xml:space="preserve">tie </w:t>
      </w:r>
      <w:r w:rsidRPr="00046FC6">
        <w:rPr>
          <w:rFonts w:ascii="Times New Roman" w:eastAsia="Times New Roman" w:hAnsi="Times New Roman" w:cs="Times New Roman"/>
          <w:bCs/>
          <w:sz w:val="24"/>
          <w:szCs w:val="24"/>
          <w:lang w:eastAsia="lv-LV"/>
        </w:rPr>
        <w:t>nepiedāvā dalību pamatā esošā vērtspapīra vērtības pieaugumā. Binār</w:t>
      </w:r>
      <w:r w:rsidR="00F17B85"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 nodrošina noteiktu samaksu, ja notiek konkrēts notikums, un </w:t>
      </w:r>
      <w:r w:rsidR="0050545A" w:rsidRPr="00046FC6">
        <w:rPr>
          <w:rFonts w:ascii="Times New Roman" w:eastAsia="Times New Roman" w:hAnsi="Times New Roman" w:cs="Times New Roman"/>
          <w:bCs/>
          <w:sz w:val="24"/>
          <w:szCs w:val="24"/>
          <w:lang w:eastAsia="lv-LV"/>
        </w:rPr>
        <w:t>š</w:t>
      </w:r>
      <w:r w:rsidRPr="00046FC6">
        <w:rPr>
          <w:rFonts w:ascii="Times New Roman" w:eastAsia="Times New Roman" w:hAnsi="Times New Roman" w:cs="Times New Roman"/>
          <w:bCs/>
          <w:sz w:val="24"/>
          <w:szCs w:val="24"/>
          <w:lang w:eastAsia="lv-LV"/>
        </w:rPr>
        <w:t>ādā ziņā t</w:t>
      </w:r>
      <w:r w:rsidR="008468FC" w:rsidRPr="00046FC6">
        <w:rPr>
          <w:rFonts w:ascii="Times New Roman" w:eastAsia="Times New Roman" w:hAnsi="Times New Roman" w:cs="Times New Roman"/>
          <w:bCs/>
          <w:sz w:val="24"/>
          <w:szCs w:val="24"/>
          <w:lang w:eastAsia="lv-LV"/>
        </w:rPr>
        <w:t>ie</w:t>
      </w:r>
      <w:r w:rsidRPr="00046FC6">
        <w:rPr>
          <w:rFonts w:ascii="Times New Roman" w:eastAsia="Times New Roman" w:hAnsi="Times New Roman" w:cs="Times New Roman"/>
          <w:bCs/>
          <w:sz w:val="24"/>
          <w:szCs w:val="24"/>
          <w:lang w:eastAsia="lv-LV"/>
        </w:rPr>
        <w:t xml:space="preserve"> atšķiras no tradicionālajiem iespēju līgumiem, ko bieži izmanto riska ierobežošanas nolūkos. Tipisk</w:t>
      </w:r>
      <w:r w:rsidR="00F17B85"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iespēj</w:t>
      </w:r>
      <w:r w:rsidR="00F17B85"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līguma maksājums ir atkarīgs no pamatā esošā vērtspapīra cenas izmaiņām, tiklīdz iespēj</w:t>
      </w:r>
      <w:r w:rsidR="00F17B85"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līgums ir naudas izteiksmē (maksājums ir mainīgs). Šim produktam raksturīgā iezīme ierobežo produkta kā riska ierobežošanas instrumenta vērtību, turpretī citi iespēju līgumu veidi </w:t>
      </w:r>
      <w:r w:rsidR="00F17B85" w:rsidRPr="00046FC6">
        <w:rPr>
          <w:rFonts w:ascii="Times New Roman" w:eastAsia="Times New Roman" w:hAnsi="Times New Roman" w:cs="Times New Roman"/>
          <w:bCs/>
          <w:sz w:val="24"/>
          <w:szCs w:val="24"/>
          <w:lang w:eastAsia="lv-LV"/>
        </w:rPr>
        <w:t>tiek</w:t>
      </w:r>
      <w:r w:rsidRPr="00046FC6">
        <w:rPr>
          <w:rFonts w:ascii="Times New Roman" w:eastAsia="Times New Roman" w:hAnsi="Times New Roman" w:cs="Times New Roman"/>
          <w:bCs/>
          <w:sz w:val="24"/>
          <w:szCs w:val="24"/>
          <w:lang w:eastAsia="lv-LV"/>
        </w:rPr>
        <w:t xml:space="preserve"> izmantoti, lai izlīdzinātu vai ierobežotu tāda aktīva cenu, ar kuru saistītam riskam sabiedrība vai ieguldītājs ir tiešā veidā pakļauts.</w:t>
      </w:r>
      <w:r w:rsidRPr="00046FC6">
        <w:rPr>
          <w:rFonts w:ascii="Times New Roman" w:eastAsia="Times New Roman" w:hAnsi="Times New Roman" w:cs="Times New Roman"/>
          <w:bCs/>
          <w:sz w:val="24"/>
          <w:szCs w:val="24"/>
          <w:vertAlign w:val="superscript"/>
          <w:lang w:eastAsia="lv-LV"/>
        </w:rPr>
        <w:footnoteReference w:id="31"/>
      </w:r>
    </w:p>
    <w:p w14:paraId="222D7BEF" w14:textId="7777777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szCs w:val="24"/>
          <w:lang w:eastAsia="lv-LV"/>
        </w:rPr>
        <w:t>Turklāt apstāklis, ka bināro iespēju līgumu termiņš parasti ir īss, ļauj ieguldītājam veikt vairākas operācijas pēc kārtas. Tas kopā ar negatīvo paredzamo peļņu rada situāciju, ka, jo vairāk operāciju ieguldītājs veic, jo lielāka varbūtība, ka tas kumulatīvi zaudēs naudu. Tā ir statistiska iezīme, kas raksturīga atkārtotai operāciju veikšanai ar negatīvu paredzamo peļņu.</w:t>
      </w:r>
    </w:p>
    <w:p w14:paraId="60A38250" w14:textId="5952219F"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Būtiski, ka negatīvā paredzamā peļņa parasti ir daļa no tirgotāja uzņēmējdarbības modeļa un parasti ir t</w:t>
      </w:r>
      <w:r w:rsidR="00A75224" w:rsidRPr="00046FC6">
        <w:rPr>
          <w:rFonts w:ascii="Times New Roman" w:eastAsia="Times New Roman" w:hAnsi="Times New Roman" w:cs="Times New Roman"/>
          <w:bCs/>
          <w:sz w:val="24"/>
          <w:szCs w:val="24"/>
          <w:lang w:eastAsia="lv-LV"/>
        </w:rPr>
        <w:t>ā</w:t>
      </w:r>
      <w:r w:rsidRPr="00046FC6">
        <w:rPr>
          <w:rFonts w:ascii="Times New Roman" w:eastAsia="Times New Roman" w:hAnsi="Times New Roman" w:cs="Times New Roman"/>
          <w:bCs/>
          <w:sz w:val="24"/>
          <w:szCs w:val="24"/>
          <w:lang w:eastAsia="lv-LV"/>
        </w:rPr>
        <w:t xml:space="preserve"> paredzamās peļņas avots. Binār</w:t>
      </w:r>
      <w:r w:rsidR="00F17B85"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līgums uzliek tā tirgotājam pienākumu izmaksāt ieguldītājam noteiktu summu, ja notiek konkrēts notikums, </w:t>
      </w:r>
      <w:r w:rsidR="00A75224" w:rsidRPr="00046FC6">
        <w:rPr>
          <w:rFonts w:ascii="Times New Roman" w:eastAsia="Times New Roman" w:hAnsi="Times New Roman" w:cs="Times New Roman"/>
          <w:bCs/>
          <w:sz w:val="24"/>
          <w:szCs w:val="24"/>
          <w:lang w:eastAsia="lv-LV"/>
        </w:rPr>
        <w:t>līdz ar to</w:t>
      </w:r>
      <w:r w:rsidRPr="00046FC6">
        <w:rPr>
          <w:rFonts w:ascii="Times New Roman" w:eastAsia="Times New Roman" w:hAnsi="Times New Roman" w:cs="Times New Roman"/>
          <w:bCs/>
          <w:sz w:val="24"/>
          <w:szCs w:val="24"/>
          <w:lang w:eastAsia="lv-LV"/>
        </w:rPr>
        <w:t>, lai pārdevējs gūtu peļņu, ieguldītājam ir jācieš paredzami zaudējumi. Turklāt pastāv iespēja, ka pārdevēji piemēros papildu maksas.</w:t>
      </w:r>
    </w:p>
    <w:p w14:paraId="3917B6CC" w14:textId="26BA868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Tādu bināro iespēju līgumu gadījumā, kur</w:t>
      </w:r>
      <w:r w:rsidR="00F17B85"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tiek piedāvāt</w:t>
      </w:r>
      <w:r w:rsidR="00F17B85"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ar dubulto cenu, šādas cenas nodrošināšana nevar uzlabot ieguldītāja paredzamo peļņu, jo pārdevējam būs jāpiedāvā cena, kas t</w:t>
      </w:r>
      <w:r w:rsidR="00F17B85" w:rsidRPr="00046FC6">
        <w:rPr>
          <w:rFonts w:ascii="Times New Roman" w:eastAsia="Times New Roman" w:hAnsi="Times New Roman" w:cs="Times New Roman"/>
          <w:bCs/>
          <w:sz w:val="24"/>
          <w:szCs w:val="24"/>
          <w:lang w:eastAsia="lv-LV"/>
        </w:rPr>
        <w:t>am</w:t>
      </w:r>
      <w:r w:rsidRPr="00046FC6">
        <w:rPr>
          <w:rFonts w:ascii="Times New Roman" w:eastAsia="Times New Roman" w:hAnsi="Times New Roman" w:cs="Times New Roman"/>
          <w:bCs/>
          <w:sz w:val="24"/>
          <w:szCs w:val="24"/>
          <w:lang w:eastAsia="lv-LV"/>
        </w:rPr>
        <w:t xml:space="preserve"> ļauj gūt paredzamu peļņu. Ja ieguldītāji izstājas no operācijas pirms termiņa beigām, </w:t>
      </w:r>
      <w:r w:rsidR="00396B39" w:rsidRPr="00046FC6">
        <w:rPr>
          <w:rFonts w:ascii="Times New Roman" w:eastAsia="Times New Roman" w:hAnsi="Times New Roman" w:cs="Times New Roman"/>
          <w:bCs/>
          <w:sz w:val="24"/>
          <w:szCs w:val="24"/>
          <w:lang w:eastAsia="lv-LV"/>
        </w:rPr>
        <w:t>ieguldītāju</w:t>
      </w:r>
      <w:r w:rsidRPr="00046FC6">
        <w:rPr>
          <w:rFonts w:ascii="Times New Roman" w:eastAsia="Times New Roman" w:hAnsi="Times New Roman" w:cs="Times New Roman"/>
          <w:bCs/>
          <w:sz w:val="24"/>
          <w:szCs w:val="24"/>
          <w:lang w:eastAsia="lv-LV"/>
        </w:rPr>
        <w:t xml:space="preserve"> paredzamā peļņa ir zemāka nekā tad, ja viņi piedalās operācijā līdz termiņa beigām. Šo papildu paredzamo zaudējumu apmērs dažādu pārdevēju gadījumā atšķirsies, bet dubultajā cenā ietvertajai paredzamajai vērtībai ieguldītājam ir jābūt negatīvai, tāpat kā produkta sākotnējā cena ietvers negatīvu paredzamo peļņu ieguldītājam.</w:t>
      </w:r>
    </w:p>
    <w:p w14:paraId="090915A5" w14:textId="77777777"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Kopējā ietekme atspoguļo būtisku bināro iespēju līgumu iezīmi, ko rada to negatīvā paredzamā peļņa: ja privātais klients veic ļoti lielu skaitu ieguldījumu vai ja ļoti liels skaits ieguldītāju katrs veic vienu ieguldījumu, peļņas varbūtība ir ļoti neliela.</w:t>
      </w:r>
    </w:p>
    <w:p w14:paraId="5B2B180B" w14:textId="7A05E696"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szCs w:val="24"/>
          <w:lang w:eastAsia="lv-LV"/>
        </w:rPr>
        <w:t>EV</w:t>
      </w:r>
      <w:r w:rsidR="001768C9" w:rsidRPr="00046FC6">
        <w:rPr>
          <w:rFonts w:ascii="Times New Roman" w:eastAsia="Times New Roman" w:hAnsi="Times New Roman" w:cs="Times New Roman"/>
          <w:bCs/>
          <w:sz w:val="24"/>
          <w:szCs w:val="24"/>
          <w:lang w:eastAsia="lv-LV"/>
        </w:rPr>
        <w:t>TI</w:t>
      </w:r>
      <w:r w:rsidRPr="00046FC6">
        <w:rPr>
          <w:rFonts w:ascii="Times New Roman" w:eastAsia="Times New Roman" w:hAnsi="Times New Roman" w:cs="Times New Roman"/>
          <w:bCs/>
          <w:sz w:val="24"/>
          <w:szCs w:val="24"/>
          <w:lang w:eastAsia="lv-LV"/>
        </w:rPr>
        <w:t xml:space="preserve"> analīze par bināro iespēju līgumu peļņas sadali korelē ar dalībvalstu uzraudzības iestāžu datiem, izceļot privāto klientu lielo risku zaudēt būtisku ieguldījum</w:t>
      </w:r>
      <w:r w:rsidR="00CC36DE"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daļu (bieži vien visu ieguldījumu) un negatīvo paredzamo peļņu. Šīs īpatnības papildina arī vispārēja ar bināro iespēju līgumu iezīmēm saistīta sarežģītība un nepietiekama pārredzamība, neapmierinoša tirdzniecības un izplatīšanas prakse, kā arī binār</w:t>
      </w:r>
      <w:r w:rsidR="00CC36DE"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līgumiem raksturīgi interešu konflikti. Kompensāciju nenodrošina nekādi atbilstīgi ieguvumi. Šīs īpatnības kopā veido būtisku kaitējuma avotu privātajiem klientiem.</w:t>
      </w:r>
      <w:r w:rsidRPr="00046FC6">
        <w:rPr>
          <w:rFonts w:ascii="Times New Roman" w:eastAsia="Times New Roman" w:hAnsi="Times New Roman" w:cs="Times New Roman"/>
          <w:bCs/>
          <w:sz w:val="24"/>
          <w:szCs w:val="24"/>
          <w:vertAlign w:val="superscript"/>
          <w:lang w:eastAsia="lv-LV"/>
        </w:rPr>
        <w:footnoteReference w:id="32"/>
      </w:r>
    </w:p>
    <w:p w14:paraId="672BB822" w14:textId="4EEEC5BC" w:rsidR="00066EC7"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Saskaņā ar </w:t>
      </w:r>
      <w:r w:rsidR="00F17B85" w:rsidRPr="00046FC6">
        <w:rPr>
          <w:rFonts w:ascii="Times New Roman" w:eastAsia="Times New Roman" w:hAnsi="Times New Roman" w:cs="Times New Roman"/>
          <w:bCs/>
          <w:sz w:val="24"/>
          <w:szCs w:val="24"/>
          <w:lang w:eastAsia="lv-LV"/>
        </w:rPr>
        <w:t>Starptautiskās Vērtspapīru komisiju organizācijas</w:t>
      </w:r>
      <w:r w:rsidRPr="00046FC6">
        <w:rPr>
          <w:rFonts w:ascii="Times New Roman" w:eastAsia="Times New Roman" w:hAnsi="Times New Roman" w:cs="Times New Roman"/>
          <w:bCs/>
          <w:sz w:val="24"/>
          <w:szCs w:val="24"/>
          <w:lang w:eastAsia="lv-LV"/>
        </w:rPr>
        <w:t xml:space="preserve"> ziņojumu biežākās jurisdikciju sūdzības saistībā ar atļauju saņēmušajiem piedāvātājiem cita starpā attiecas uz produkta darbības rādītājiem (ieguldītāju zaudējumiem), klientu izpratnes trūkumu par produktiem vai sniegtajiem pakalpojumiem (un ar tiem saistītajiem riskiem), grūtībām izņemt līdzekļus, agresīvu</w:t>
      </w:r>
      <w:r w:rsidR="00CC36DE" w:rsidRPr="00046FC6">
        <w:rPr>
          <w:rFonts w:ascii="Times New Roman" w:eastAsia="Times New Roman" w:hAnsi="Times New Roman" w:cs="Times New Roman"/>
          <w:bCs/>
          <w:sz w:val="24"/>
          <w:szCs w:val="24"/>
          <w:lang w:eastAsia="lv-LV"/>
        </w:rPr>
        <w:t xml:space="preserve"> vai </w:t>
      </w:r>
      <w:r w:rsidRPr="00046FC6">
        <w:rPr>
          <w:rFonts w:ascii="Times New Roman" w:eastAsia="Times New Roman" w:hAnsi="Times New Roman" w:cs="Times New Roman"/>
          <w:bCs/>
          <w:sz w:val="24"/>
          <w:szCs w:val="24"/>
          <w:lang w:eastAsia="lv-LV"/>
        </w:rPr>
        <w:t xml:space="preserve">maldinošu </w:t>
      </w:r>
      <w:r w:rsidR="009E150E" w:rsidRPr="00046FC6">
        <w:rPr>
          <w:rFonts w:ascii="Times New Roman" w:eastAsia="Times New Roman" w:hAnsi="Times New Roman" w:cs="Times New Roman"/>
          <w:bCs/>
          <w:sz w:val="24"/>
          <w:szCs w:val="24"/>
          <w:lang w:eastAsia="lv-LV"/>
        </w:rPr>
        <w:t>pārdošanu</w:t>
      </w:r>
      <w:r w:rsidRPr="00046FC6">
        <w:rPr>
          <w:rFonts w:ascii="Times New Roman" w:eastAsia="Times New Roman" w:hAnsi="Times New Roman" w:cs="Times New Roman"/>
          <w:bCs/>
          <w:sz w:val="24"/>
          <w:szCs w:val="24"/>
          <w:lang w:eastAsia="lv-LV"/>
        </w:rPr>
        <w:t>, kā arī cenas vai operāciju manipulēšanu</w:t>
      </w:r>
      <w:r w:rsidR="006933E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33"/>
      </w:r>
    </w:p>
    <w:p w14:paraId="08D803A3" w14:textId="5851584F" w:rsidR="00B07C82" w:rsidRPr="00046FC6" w:rsidRDefault="00B07C82" w:rsidP="00046FC6">
      <w:pPr>
        <w:keepNext/>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lastRenderedPageBreak/>
        <w:t xml:space="preserve">Finanšu darbībā vai finanšu praksē iesaistīto klientu veids (Deleģētās </w:t>
      </w:r>
      <w:r w:rsidR="001768C9" w:rsidRPr="00046FC6">
        <w:rPr>
          <w:rFonts w:ascii="Times New Roman" w:eastAsia="Times New Roman" w:hAnsi="Times New Roman" w:cs="Times New Roman"/>
          <w:b/>
          <w:sz w:val="24"/>
          <w:szCs w:val="24"/>
          <w:lang w:eastAsia="lv-LV"/>
        </w:rPr>
        <w:t>r</w:t>
      </w:r>
      <w:r w:rsidRPr="00046FC6">
        <w:rPr>
          <w:rFonts w:ascii="Times New Roman" w:eastAsia="Times New Roman" w:hAnsi="Times New Roman" w:cs="Times New Roman"/>
          <w:b/>
          <w:sz w:val="24"/>
          <w:szCs w:val="24"/>
          <w:lang w:eastAsia="lv-LV"/>
        </w:rPr>
        <w:t xml:space="preserve">egulas </w:t>
      </w:r>
      <w:r w:rsidR="001768C9" w:rsidRPr="00046FC6">
        <w:rPr>
          <w:rFonts w:ascii="Times New Roman" w:eastAsia="Times New Roman" w:hAnsi="Times New Roman" w:cs="Times New Roman"/>
          <w:b/>
          <w:sz w:val="24"/>
          <w:szCs w:val="24"/>
          <w:lang w:eastAsia="lv-LV"/>
        </w:rPr>
        <w:t xml:space="preserve">Nr. 2017/567 </w:t>
      </w:r>
      <w:r w:rsidRPr="00046FC6">
        <w:rPr>
          <w:rFonts w:ascii="Times New Roman" w:eastAsia="Times New Roman" w:hAnsi="Times New Roman" w:cs="Times New Roman"/>
          <w:b/>
          <w:sz w:val="24"/>
          <w:szCs w:val="24"/>
          <w:lang w:eastAsia="lv-LV"/>
        </w:rPr>
        <w:t>21.</w:t>
      </w:r>
      <w:r w:rsidR="001768C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1768C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c)</w:t>
      </w:r>
      <w:r w:rsidR="001768C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213889DE" w14:textId="17216D6F"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Ņemot vērā bināro iespēju līgumu sarežģītību, kā aprakstīts </w:t>
      </w:r>
      <w:r w:rsidRPr="00046FC6">
        <w:rPr>
          <w:rFonts w:ascii="Times New Roman" w:eastAsia="Times New Roman" w:hAnsi="Times New Roman" w:cs="Times New Roman"/>
          <w:sz w:val="24"/>
          <w:lang w:eastAsia="lv-LV"/>
        </w:rPr>
        <w:t xml:space="preserve">EVTI bināro iespēju līgumu intervences </w:t>
      </w:r>
      <w:r w:rsidRPr="00046FC6">
        <w:rPr>
          <w:rFonts w:ascii="Times New Roman" w:eastAsia="Times New Roman" w:hAnsi="Times New Roman" w:cs="Times New Roman"/>
          <w:bCs/>
          <w:sz w:val="24"/>
          <w:szCs w:val="24"/>
          <w:lang w:eastAsia="lv-LV"/>
        </w:rPr>
        <w:t>lēmumā, vairākumam privāto klientu (atšķirībā no profesionālajiem klientiem) ir grūti pienācīgi izprast un novērtēt faktisko risku, kas rodas, veicot darījumus ar šiem produktiem.</w:t>
      </w:r>
      <w:r w:rsidRPr="00046FC6">
        <w:rPr>
          <w:rFonts w:ascii="Times New Roman" w:eastAsia="Times New Roman" w:hAnsi="Times New Roman" w:cs="Times New Roman"/>
          <w:bCs/>
          <w:sz w:val="24"/>
          <w:szCs w:val="24"/>
          <w:vertAlign w:val="superscript"/>
          <w:lang w:eastAsia="lv-LV"/>
        </w:rPr>
        <w:footnoteReference w:id="34"/>
      </w:r>
      <w:r w:rsidRPr="00046FC6">
        <w:rPr>
          <w:rFonts w:ascii="Times New Roman" w:eastAsia="Times New Roman" w:hAnsi="Times New Roman" w:cs="Times New Roman"/>
          <w:bCs/>
          <w:sz w:val="24"/>
          <w:szCs w:val="24"/>
          <w:vertAlign w:val="superscript"/>
          <w:lang w:eastAsia="lv-LV"/>
        </w:rPr>
        <w:t xml:space="preserve"> </w:t>
      </w:r>
      <w:r w:rsidRPr="00046FC6">
        <w:rPr>
          <w:rFonts w:ascii="Times New Roman" w:eastAsia="Times New Roman" w:hAnsi="Times New Roman" w:cs="Times New Roman"/>
          <w:bCs/>
          <w:sz w:val="24"/>
          <w:szCs w:val="24"/>
          <w:lang w:eastAsia="lv-LV"/>
        </w:rPr>
        <w:t xml:space="preserve">Pierādījumi par dalībvalstu uzraudzības iestāžu novērotajiem zaudējumiem privāto klientu kontos, kas aprakstīti </w:t>
      </w:r>
      <w:r w:rsidRPr="00046FC6">
        <w:rPr>
          <w:rFonts w:ascii="Times New Roman" w:eastAsia="Times New Roman" w:hAnsi="Times New Roman" w:cs="Times New Roman"/>
          <w:sz w:val="24"/>
          <w:lang w:eastAsia="lv-LV"/>
        </w:rPr>
        <w:t xml:space="preserve">EVTI bināro iespēju līgumu intervences </w:t>
      </w:r>
      <w:r w:rsidRPr="00046FC6">
        <w:rPr>
          <w:rFonts w:ascii="Times New Roman" w:eastAsia="Times New Roman" w:hAnsi="Times New Roman" w:cs="Times New Roman"/>
          <w:bCs/>
          <w:sz w:val="24"/>
          <w:szCs w:val="24"/>
          <w:lang w:eastAsia="lv-LV"/>
        </w:rPr>
        <w:t xml:space="preserve">lēmumā un Latvijas Bankas </w:t>
      </w:r>
      <w:r w:rsidR="00CC36DE" w:rsidRPr="00046FC6">
        <w:rPr>
          <w:rFonts w:ascii="Times New Roman" w:eastAsia="Times New Roman" w:hAnsi="Times New Roman" w:cs="Times New Roman"/>
          <w:sz w:val="24"/>
          <w:lang w:eastAsia="lv-LV"/>
        </w:rPr>
        <w:t>noteikumu projektā,</w:t>
      </w:r>
      <w:r w:rsidRPr="00046FC6">
        <w:rPr>
          <w:rFonts w:ascii="Times New Roman" w:eastAsia="Times New Roman" w:hAnsi="Times New Roman" w:cs="Times New Roman"/>
          <w:bCs/>
          <w:sz w:val="24"/>
          <w:szCs w:val="24"/>
          <w:lang w:eastAsia="lv-LV"/>
        </w:rPr>
        <w:t xml:space="preserve"> liecina, ka binār</w:t>
      </w:r>
      <w:r w:rsidR="00CC36DE"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w:t>
      </w:r>
      <w:r w:rsidR="00CC36DE"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nav piemērot</w:t>
      </w:r>
      <w:r w:rsidR="00CC36DE"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privātajiem klientiem.</w:t>
      </w:r>
    </w:p>
    <w:p w14:paraId="5720262B" w14:textId="4AE0F5BB"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Lai gan binār</w:t>
      </w:r>
      <w:r w:rsidR="00CC36DE"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iespēju līgumi ir sarežģīti produkti, tie (pirms EVTI bināro </w:t>
      </w:r>
      <w:r w:rsidRPr="00046FC6">
        <w:rPr>
          <w:rFonts w:ascii="Times New Roman" w:eastAsia="Times New Roman" w:hAnsi="Times New Roman" w:cs="Times New Roman"/>
          <w:sz w:val="24"/>
          <w:lang w:eastAsia="lv-LV"/>
        </w:rPr>
        <w:t xml:space="preserve">iespēju līgumu intervences </w:t>
      </w:r>
      <w:r w:rsidRPr="00046FC6">
        <w:rPr>
          <w:rFonts w:ascii="Times New Roman" w:eastAsia="Times New Roman" w:hAnsi="Times New Roman" w:cs="Times New Roman"/>
          <w:bCs/>
          <w:sz w:val="24"/>
          <w:szCs w:val="24"/>
          <w:lang w:eastAsia="lv-LV"/>
        </w:rPr>
        <w:t>lēmuma) visbiežāk tika piedāvāti privātajiem klientiem, izmantojot elektroniskās tirdzniecības platformas</w:t>
      </w:r>
      <w:r w:rsidR="00E75BE0" w:rsidRPr="00046FC6">
        <w:rPr>
          <w:rFonts w:ascii="Times New Roman" w:eastAsia="Times New Roman" w:hAnsi="Times New Roman" w:cs="Times New Roman"/>
          <w:bCs/>
          <w:sz w:val="24"/>
          <w:szCs w:val="24"/>
          <w:lang w:eastAsia="lv-LV"/>
        </w:rPr>
        <w:t xml:space="preserve"> un</w:t>
      </w:r>
      <w:r w:rsidRPr="00046FC6">
        <w:rPr>
          <w:rFonts w:ascii="Times New Roman" w:eastAsia="Times New Roman" w:hAnsi="Times New Roman" w:cs="Times New Roman"/>
          <w:bCs/>
          <w:sz w:val="24"/>
          <w:szCs w:val="24"/>
          <w:lang w:eastAsia="lv-LV"/>
        </w:rPr>
        <w:t xml:space="preserve"> nesniedzot ieguldījumu konsultācijas vai neveicot portfeļa pārvaldību.</w:t>
      </w:r>
    </w:p>
    <w:p w14:paraId="4BDF3D6D" w14:textId="64ED1F5C"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sz w:val="24"/>
          <w:lang w:eastAsia="lv-LV"/>
        </w:rPr>
        <w:t xml:space="preserve">EVTI bināro iespēju līgumu intervences lēmumā </w:t>
      </w:r>
      <w:r w:rsidRPr="00046FC6">
        <w:rPr>
          <w:rFonts w:ascii="Times New Roman" w:eastAsia="Times New Roman" w:hAnsi="Times New Roman" w:cs="Times New Roman"/>
          <w:bCs/>
          <w:sz w:val="24"/>
          <w:szCs w:val="24"/>
          <w:lang w:eastAsia="lv-LV"/>
        </w:rPr>
        <w:t>ir norādīts, ka dalībvalstu uzraudzības iestādes šajā tirgus sektorā ir novērojušas agresīvus pārdošanas pasākumus, kā arī maldinošas reklāmas paziņojumus šajā tirgus nozarē. Tie ietver, piemēram, sponsorēšanas pasākumu vai saistību izmantošanu attiecībā uz lielākajām sporta komandām, kas rada maldinošu iespaidu, ka sarežģīti un spekulatīvi produkti</w:t>
      </w:r>
      <w:r w:rsidR="001F0E6F" w:rsidRPr="00046FC6">
        <w:rPr>
          <w:rFonts w:ascii="Times New Roman" w:eastAsia="Times New Roman" w:hAnsi="Times New Roman" w:cs="Times New Roman"/>
          <w:bCs/>
          <w:sz w:val="24"/>
          <w:szCs w:val="24"/>
          <w:lang w:eastAsia="lv-LV"/>
        </w:rPr>
        <w:t>, piemēram, bināro iespēju līgumi,</w:t>
      </w:r>
      <w:r w:rsidRPr="00046FC6">
        <w:rPr>
          <w:rFonts w:ascii="Times New Roman" w:eastAsia="Times New Roman" w:hAnsi="Times New Roman" w:cs="Times New Roman"/>
          <w:bCs/>
          <w:sz w:val="24"/>
          <w:szCs w:val="24"/>
          <w:lang w:eastAsia="lv-LV"/>
        </w:rPr>
        <w:t xml:space="preserve"> ir piemēroti privāto klientu tirgum, veicinot vispārējo zīmola nosaukuma atpazīstamību.</w:t>
      </w:r>
      <w:r w:rsidRPr="00046FC6">
        <w:rPr>
          <w:rFonts w:ascii="Times New Roman" w:eastAsia="Times New Roman" w:hAnsi="Times New Roman" w:cs="Times New Roman"/>
          <w:bCs/>
          <w:sz w:val="24"/>
          <w:szCs w:val="24"/>
          <w:vertAlign w:val="superscript"/>
          <w:lang w:eastAsia="lv-LV"/>
        </w:rPr>
        <w:footnoteReference w:id="35"/>
      </w:r>
    </w:p>
    <w:p w14:paraId="321DCE8A" w14:textId="4FCD1C87"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Tas, cik lielā mērā finanšu instruments var apdraudēt ieguldītāju uzticību finanšu sistēmai (</w:t>
      </w:r>
      <w:r w:rsidR="001768C9" w:rsidRPr="00046FC6">
        <w:rPr>
          <w:rFonts w:ascii="Times New Roman" w:eastAsia="Times New Roman" w:hAnsi="Times New Roman" w:cs="Times New Roman"/>
          <w:b/>
          <w:sz w:val="24"/>
          <w:szCs w:val="24"/>
          <w:lang w:eastAsia="lv-LV"/>
        </w:rPr>
        <w:t xml:space="preserve">Deleģētās regulas Nr. 2017/567 </w:t>
      </w:r>
      <w:r w:rsidRPr="00046FC6">
        <w:rPr>
          <w:rFonts w:ascii="Times New Roman" w:eastAsia="Times New Roman" w:hAnsi="Times New Roman" w:cs="Times New Roman"/>
          <w:b/>
          <w:sz w:val="24"/>
          <w:szCs w:val="24"/>
          <w:lang w:eastAsia="lv-LV"/>
        </w:rPr>
        <w:t>21.</w:t>
      </w:r>
      <w:r w:rsidR="001768C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1768C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v)</w:t>
      </w:r>
      <w:r w:rsidR="001768C9"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787D3DF3" w14:textId="333FF71A"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Bināro iespēju līgumu sarežģītīb</w:t>
      </w:r>
      <w:r w:rsidR="00012B94"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kopā ar pārredzamības trūkumu, produkta paredzamā negatīvā peļņa ieguldītājiem, pamatotu ieguldījuma mērķu neesamība, daudzu tirdzniecības un izplatīšanas darbību maldinošais un agresīvais raksturs, pārdevēju </w:t>
      </w:r>
      <w:r w:rsidRPr="00046FC6">
        <w:rPr>
          <w:rFonts w:ascii="Times New Roman" w:eastAsia="Times New Roman" w:hAnsi="Times New Roman" w:cs="Times New Roman"/>
          <w:sz w:val="24"/>
          <w:szCs w:val="24"/>
          <w:lang w:eastAsia="lv-LV"/>
        </w:rPr>
        <w:t>interešu</w:t>
      </w:r>
      <w:r w:rsidRPr="00046FC6">
        <w:rPr>
          <w:rFonts w:ascii="Times New Roman" w:eastAsia="Times New Roman" w:hAnsi="Times New Roman" w:cs="Times New Roman"/>
          <w:bCs/>
          <w:sz w:val="24"/>
          <w:szCs w:val="24"/>
          <w:lang w:eastAsia="lv-LV"/>
        </w:rPr>
        <w:t xml:space="preserve"> konflikti, kā arī iespējamā kaitējuma apmērs veicina privāto klientu uzticības mazināšanos finanšu sistēmai.</w:t>
      </w:r>
    </w:p>
    <w:p w14:paraId="665A79C6" w14:textId="200EABE5"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Ņemot vērā </w:t>
      </w:r>
      <w:r w:rsidR="00012B94" w:rsidRPr="00046FC6">
        <w:rPr>
          <w:rFonts w:ascii="Times New Roman" w:eastAsia="Times New Roman" w:hAnsi="Times New Roman" w:cs="Times New Roman"/>
          <w:sz w:val="24"/>
          <w:lang w:eastAsia="lv-LV"/>
        </w:rPr>
        <w:t xml:space="preserve">EVTI bināro iespēju līgumu intervences </w:t>
      </w:r>
      <w:r w:rsidRPr="00046FC6">
        <w:rPr>
          <w:rFonts w:ascii="Times New Roman" w:eastAsia="Times New Roman" w:hAnsi="Times New Roman" w:cs="Times New Roman"/>
          <w:bCs/>
          <w:sz w:val="24"/>
          <w:szCs w:val="24"/>
          <w:lang w:eastAsia="lv-LV"/>
        </w:rPr>
        <w:t xml:space="preserve">lēmumā apliecināto lielo varbūtību, ka klienti cietīs zaudējumus, ieguldītāji, </w:t>
      </w:r>
      <w:r w:rsidRPr="00046FC6">
        <w:rPr>
          <w:rFonts w:ascii="Times New Roman" w:eastAsia="Times New Roman" w:hAnsi="Times New Roman" w:cs="Times New Roman"/>
          <w:sz w:val="24"/>
          <w:szCs w:val="24"/>
          <w:lang w:eastAsia="lv-LV"/>
        </w:rPr>
        <w:t>kuriem</w:t>
      </w:r>
      <w:r w:rsidRPr="00046FC6">
        <w:rPr>
          <w:rFonts w:ascii="Times New Roman" w:eastAsia="Times New Roman" w:hAnsi="Times New Roman" w:cs="Times New Roman"/>
          <w:bCs/>
          <w:sz w:val="24"/>
          <w:szCs w:val="24"/>
          <w:lang w:eastAsia="lv-LV"/>
        </w:rPr>
        <w:t xml:space="preserve"> nav citas pieredzes saistībā ar ieguldījumu veikšanu finanšu instrumentos un kurus ir piesaistījusi bināro iespēju līgumu pārdevēju agresīvā tirgvedība, varētu secināt, ka šie produkti reprezentē visus finanšu instrumentus. Šīs bažas ir vēl būtiskākas, ņemot vērā bināro iespēju līgumu pārdevēju lielo klientu skaitu un sūdzību skaitu par šiem produktiem.</w:t>
      </w:r>
      <w:r w:rsidRPr="00046FC6">
        <w:rPr>
          <w:rFonts w:ascii="Times New Roman" w:eastAsia="Times New Roman" w:hAnsi="Times New Roman" w:cs="Times New Roman"/>
          <w:bCs/>
          <w:sz w:val="24"/>
          <w:szCs w:val="24"/>
          <w:vertAlign w:val="superscript"/>
          <w:lang w:eastAsia="lv-LV"/>
        </w:rPr>
        <w:footnoteReference w:id="36"/>
      </w:r>
    </w:p>
    <w:p w14:paraId="3CCEFA2A" w14:textId="3356C689"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Latvijas Bankas vērtējums par to, vai pastāv būtiskas bažas par ieguldītāju aizsardzību</w:t>
      </w:r>
    </w:p>
    <w:p w14:paraId="5AF09341" w14:textId="7E0943CC"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ir izskatījusi pierādījumus par bināro iespēju līgumu vēsturisko pārdošanu privātajiem klientiem, kā izklāstīts iepriekš, un ir secinājusi, ka, nepastāvot ierobežojumiem, kas ietverti pagaidu EVTI </w:t>
      </w:r>
      <w:r w:rsidRPr="00046FC6">
        <w:rPr>
          <w:rFonts w:ascii="Times New Roman" w:eastAsia="Times New Roman" w:hAnsi="Times New Roman" w:cs="Times New Roman"/>
          <w:sz w:val="24"/>
          <w:lang w:eastAsia="lv-LV"/>
        </w:rPr>
        <w:t>bināro iespēju līgumu intervences lēmumā</w:t>
      </w:r>
      <w:r w:rsidRPr="00046FC6">
        <w:rPr>
          <w:rFonts w:ascii="Times New Roman" w:eastAsia="Times New Roman" w:hAnsi="Times New Roman" w:cs="Times New Roman"/>
          <w:bCs/>
          <w:sz w:val="24"/>
          <w:szCs w:val="24"/>
          <w:lang w:eastAsia="lv-LV"/>
        </w:rPr>
        <w:t>, bināro iespēju</w:t>
      </w:r>
      <w:r w:rsidR="00CC36DE" w:rsidRPr="00046FC6">
        <w:rPr>
          <w:rFonts w:ascii="Times New Roman" w:eastAsia="Times New Roman" w:hAnsi="Times New Roman" w:cs="Times New Roman"/>
          <w:bCs/>
          <w:sz w:val="24"/>
          <w:szCs w:val="24"/>
          <w:lang w:eastAsia="lv-LV"/>
        </w:rPr>
        <w:t xml:space="preserve"> līgumu</w:t>
      </w:r>
      <w:r w:rsidRPr="00046FC6">
        <w:rPr>
          <w:rFonts w:ascii="Times New Roman" w:eastAsia="Times New Roman" w:hAnsi="Times New Roman" w:cs="Times New Roman"/>
          <w:bCs/>
          <w:sz w:val="24"/>
          <w:szCs w:val="24"/>
          <w:lang w:eastAsia="lv-LV"/>
        </w:rPr>
        <w:t xml:space="preserve"> pārdošana privātajiem klientiem rada būtiskas bažas par ieguldītāju aizsardzību.</w:t>
      </w:r>
    </w:p>
    <w:p w14:paraId="7E696B53" w14:textId="24323532"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Piemērojamās spēkā esošās regulatīvās prasības saskaņā ar Eiropas Savienības tiesību aktiem nepietiekami novērš konstatētās ievērojamās bažas par ieguldītāju aizsardzību (</w:t>
      </w:r>
      <w:bookmarkStart w:id="12" w:name="_Hlk174717889"/>
      <w:r w:rsidR="00A017AB" w:rsidRPr="00046FC6">
        <w:rPr>
          <w:rFonts w:ascii="Times New Roman" w:eastAsia="Times New Roman" w:hAnsi="Times New Roman" w:cs="Times New Roman"/>
          <w:b/>
          <w:sz w:val="24"/>
          <w:szCs w:val="24"/>
          <w:lang w:eastAsia="lv-LV"/>
        </w:rPr>
        <w:t>Regulas Nr. 600/2014</w:t>
      </w:r>
      <w:r w:rsidRPr="00046FC6">
        <w:rPr>
          <w:rFonts w:ascii="Times New Roman" w:eastAsia="Times New Roman" w:hAnsi="Times New Roman" w:cs="Times New Roman"/>
          <w:b/>
          <w:sz w:val="24"/>
          <w:szCs w:val="24"/>
          <w:lang w:eastAsia="lv-LV"/>
        </w:rPr>
        <w:t xml:space="preserve"> </w:t>
      </w:r>
      <w:bookmarkEnd w:id="12"/>
      <w:r w:rsidRPr="00046FC6">
        <w:rPr>
          <w:rFonts w:ascii="Times New Roman" w:eastAsia="Times New Roman" w:hAnsi="Times New Roman" w:cs="Times New Roman"/>
          <w:b/>
          <w:sz w:val="24"/>
          <w:szCs w:val="24"/>
          <w:lang w:eastAsia="lv-LV"/>
        </w:rPr>
        <w:t>42.</w:t>
      </w:r>
      <w:r w:rsidR="00A017A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A017A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b)</w:t>
      </w:r>
      <w:r w:rsidR="00A017A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4C2599CB" w14:textId="0C2E566F" w:rsidR="00A017AB" w:rsidRPr="00046FC6" w:rsidRDefault="000B50DA" w:rsidP="00046FC6">
      <w:pPr>
        <w:numPr>
          <w:ilvl w:val="0"/>
          <w:numId w:val="8"/>
        </w:numPr>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Atbilstoši </w:t>
      </w:r>
      <w:r w:rsidR="00A017AB" w:rsidRPr="00046FC6">
        <w:rPr>
          <w:rFonts w:ascii="Times New Roman" w:eastAsia="Times New Roman" w:hAnsi="Times New Roman" w:cs="Times New Roman"/>
          <w:bCs/>
          <w:sz w:val="24"/>
          <w:szCs w:val="24"/>
          <w:lang w:eastAsia="lv-LV"/>
        </w:rPr>
        <w:t xml:space="preserve">Regulas Nr. 600/2014 </w:t>
      </w:r>
      <w:r w:rsidR="00B07C82" w:rsidRPr="00046FC6">
        <w:rPr>
          <w:rFonts w:ascii="Times New Roman" w:eastAsia="Times New Roman" w:hAnsi="Times New Roman" w:cs="Times New Roman"/>
          <w:bCs/>
          <w:sz w:val="24"/>
          <w:szCs w:val="24"/>
          <w:lang w:eastAsia="lv-LV"/>
        </w:rPr>
        <w:t>42.</w:t>
      </w:r>
      <w:r w:rsidR="00A017AB"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panta 2.</w:t>
      </w:r>
      <w:r w:rsidR="00A017AB"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punkta b)</w:t>
      </w:r>
      <w:r w:rsidR="00A017AB"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apakšpunkt</w:t>
      </w:r>
      <w:r w:rsidRPr="00046FC6">
        <w:rPr>
          <w:rFonts w:ascii="Times New Roman" w:eastAsia="Times New Roman" w:hAnsi="Times New Roman" w:cs="Times New Roman"/>
          <w:bCs/>
          <w:sz w:val="24"/>
          <w:szCs w:val="24"/>
          <w:lang w:eastAsia="lv-LV"/>
        </w:rPr>
        <w:t xml:space="preserve">am </w:t>
      </w:r>
      <w:r w:rsidR="00B07C82" w:rsidRPr="00046FC6">
        <w:rPr>
          <w:rFonts w:ascii="Times New Roman" w:eastAsia="Times New Roman" w:hAnsi="Times New Roman" w:cs="Times New Roman"/>
          <w:bCs/>
          <w:sz w:val="24"/>
          <w:szCs w:val="24"/>
          <w:lang w:eastAsia="lv-LV"/>
        </w:rPr>
        <w:t xml:space="preserve">Latvijas Banka ir vērtējusi, vai Eiropas Savienībā spēkā esošās regulējošās prasības, kas piemērojamas attiecīgajam finanšu instrumentam vai darbībai, nenovērsīs draudus. Latvijas Banka ir ņēmusi vērā piemērojamās spēkā esošās regulatīvās prasības, kas noteiktas Finanšu instrumentu tirgus </w:t>
      </w:r>
      <w:r w:rsidR="00B07C82" w:rsidRPr="00046FC6">
        <w:rPr>
          <w:rFonts w:ascii="Times New Roman" w:eastAsia="Times New Roman" w:hAnsi="Times New Roman" w:cs="Times New Roman"/>
          <w:bCs/>
          <w:sz w:val="24"/>
          <w:szCs w:val="24"/>
          <w:lang w:eastAsia="lv-LV"/>
        </w:rPr>
        <w:lastRenderedPageBreak/>
        <w:t>likumā</w:t>
      </w:r>
      <w:r w:rsidR="00A017AB" w:rsidRPr="00046FC6">
        <w:rPr>
          <w:rFonts w:ascii="Times New Roman" w:eastAsia="Times New Roman" w:hAnsi="Times New Roman" w:cs="Times New Roman"/>
          <w:bCs/>
          <w:sz w:val="24"/>
          <w:szCs w:val="24"/>
          <w:lang w:eastAsia="lv-LV"/>
        </w:rPr>
        <w:t xml:space="preserve">, Regulā Nr. 600/2014 </w:t>
      </w:r>
      <w:r w:rsidR="00B07C82" w:rsidRPr="00046FC6">
        <w:rPr>
          <w:rFonts w:ascii="Times New Roman" w:eastAsia="Times New Roman" w:hAnsi="Times New Roman" w:cs="Times New Roman"/>
          <w:bCs/>
          <w:sz w:val="24"/>
          <w:szCs w:val="24"/>
          <w:lang w:eastAsia="lv-LV"/>
        </w:rPr>
        <w:t xml:space="preserve">un Eiropas Parlamenta un Padomes </w:t>
      </w:r>
      <w:r w:rsidR="0047783C" w:rsidRPr="00046FC6">
        <w:rPr>
          <w:rFonts w:ascii="Times New Roman" w:eastAsia="Times New Roman" w:hAnsi="Times New Roman" w:cs="Times New Roman"/>
          <w:bCs/>
          <w:sz w:val="24"/>
          <w:szCs w:val="24"/>
          <w:lang w:eastAsia="lv-LV"/>
        </w:rPr>
        <w:t xml:space="preserve">2014. gada 26. novembra </w:t>
      </w:r>
      <w:r w:rsidR="00A017AB" w:rsidRPr="00046FC6">
        <w:rPr>
          <w:rFonts w:ascii="Times New Roman" w:eastAsia="Times New Roman" w:hAnsi="Times New Roman" w:cs="Times New Roman"/>
          <w:bCs/>
          <w:sz w:val="24"/>
          <w:szCs w:val="24"/>
          <w:lang w:eastAsia="lv-LV"/>
        </w:rPr>
        <w:t>r</w:t>
      </w:r>
      <w:r w:rsidR="00B07C82" w:rsidRPr="00046FC6">
        <w:rPr>
          <w:rFonts w:ascii="Times New Roman" w:eastAsia="Times New Roman" w:hAnsi="Times New Roman" w:cs="Times New Roman"/>
          <w:bCs/>
          <w:sz w:val="24"/>
          <w:szCs w:val="24"/>
          <w:lang w:eastAsia="lv-LV"/>
        </w:rPr>
        <w:t>egulā (ES) Nr.</w:t>
      </w:r>
      <w:r w:rsidR="00A017AB"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xml:space="preserve">1286/2014 </w:t>
      </w:r>
      <w:r w:rsidR="0047783C" w:rsidRPr="00046FC6">
        <w:rPr>
          <w:rFonts w:ascii="Times New Roman" w:eastAsia="Times New Roman" w:hAnsi="Times New Roman" w:cs="Times New Roman"/>
          <w:bCs/>
          <w:sz w:val="24"/>
          <w:szCs w:val="24"/>
          <w:lang w:eastAsia="lv-LV"/>
        </w:rPr>
        <w:t xml:space="preserve">par komplektētu privāto ieguldījumu un apdrošināšanas ieguldījumu produktu (PRIIP) pamatinformācijas dokumentiem </w:t>
      </w:r>
      <w:r w:rsidR="00B07C82" w:rsidRPr="00046FC6">
        <w:rPr>
          <w:rFonts w:ascii="Times New Roman" w:eastAsia="Times New Roman" w:hAnsi="Times New Roman" w:cs="Times New Roman"/>
          <w:bCs/>
          <w:sz w:val="24"/>
          <w:szCs w:val="24"/>
          <w:lang w:eastAsia="lv-LV"/>
        </w:rPr>
        <w:t>(</w:t>
      </w:r>
      <w:r w:rsidR="0047783C" w:rsidRPr="00046FC6">
        <w:rPr>
          <w:rFonts w:ascii="Times New Roman" w:eastAsia="Times New Roman" w:hAnsi="Times New Roman" w:cs="Times New Roman"/>
          <w:bCs/>
          <w:sz w:val="24"/>
          <w:szCs w:val="24"/>
          <w:lang w:eastAsia="lv-LV"/>
        </w:rPr>
        <w:t xml:space="preserve">turpmāk – </w:t>
      </w:r>
      <w:r w:rsidR="00B07C82" w:rsidRPr="00046FC6">
        <w:rPr>
          <w:rFonts w:ascii="Times New Roman" w:eastAsia="Times New Roman" w:hAnsi="Times New Roman" w:cs="Times New Roman"/>
          <w:bCs/>
          <w:sz w:val="24"/>
          <w:szCs w:val="24"/>
          <w:lang w:eastAsia="lv-LV"/>
        </w:rPr>
        <w:t>PRIIPs regul</w:t>
      </w:r>
      <w:r w:rsidR="00012B94" w:rsidRPr="00046FC6">
        <w:rPr>
          <w:rFonts w:ascii="Times New Roman" w:eastAsia="Times New Roman" w:hAnsi="Times New Roman" w:cs="Times New Roman"/>
          <w:bCs/>
          <w:sz w:val="24"/>
          <w:szCs w:val="24"/>
          <w:lang w:eastAsia="lv-LV"/>
        </w:rPr>
        <w:t>a</w:t>
      </w:r>
      <w:r w:rsidR="00B07C82" w:rsidRPr="00046FC6">
        <w:rPr>
          <w:rFonts w:ascii="Times New Roman" w:eastAsia="Times New Roman" w:hAnsi="Times New Roman" w:cs="Times New Roman"/>
          <w:bCs/>
          <w:sz w:val="24"/>
          <w:szCs w:val="24"/>
          <w:lang w:eastAsia="lv-LV"/>
        </w:rPr>
        <w:t xml:space="preserve">). </w:t>
      </w:r>
      <w:r w:rsidR="00012B94" w:rsidRPr="00046FC6">
        <w:rPr>
          <w:rFonts w:ascii="Times New Roman" w:eastAsia="Times New Roman" w:hAnsi="Times New Roman" w:cs="Times New Roman"/>
          <w:bCs/>
          <w:sz w:val="24"/>
          <w:szCs w:val="24"/>
          <w:lang w:eastAsia="lv-LV"/>
        </w:rPr>
        <w:t>Ī</w:t>
      </w:r>
      <w:r w:rsidR="00B07C82" w:rsidRPr="00046FC6">
        <w:rPr>
          <w:rFonts w:ascii="Times New Roman" w:eastAsia="Times New Roman" w:hAnsi="Times New Roman" w:cs="Times New Roman"/>
          <w:bCs/>
          <w:sz w:val="24"/>
          <w:szCs w:val="24"/>
          <w:lang w:eastAsia="lv-LV"/>
        </w:rPr>
        <w:t>paši tas ietver:</w:t>
      </w:r>
    </w:p>
    <w:p w14:paraId="4B42EAF6" w14:textId="613CACC4" w:rsidR="00A017AB" w:rsidRPr="00046FC6" w:rsidRDefault="00B07C82" w:rsidP="00046FC6">
      <w:pPr>
        <w:pStyle w:val="ListParagraph"/>
        <w:numPr>
          <w:ilvl w:val="0"/>
          <w:numId w:val="11"/>
        </w:numPr>
        <w:tabs>
          <w:tab w:val="decimal" w:pos="426"/>
          <w:tab w:val="left" w:pos="709"/>
          <w:tab w:val="left" w:pos="851"/>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prasību sniegt klientiem atbilstošu informāciju saskaņā ar Finanšu instrumentu tirgus likuma 128.</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piekto un sesto daļu;</w:t>
      </w:r>
    </w:p>
    <w:p w14:paraId="64928382" w14:textId="24EDBD9F" w:rsidR="00A017AB" w:rsidRPr="00046FC6" w:rsidRDefault="00B07C82" w:rsidP="00046FC6">
      <w:pPr>
        <w:pStyle w:val="ListParagraph"/>
        <w:numPr>
          <w:ilvl w:val="0"/>
          <w:numId w:val="11"/>
        </w:numPr>
        <w:tabs>
          <w:tab w:val="decimal" w:pos="426"/>
          <w:tab w:val="left" w:pos="709"/>
          <w:tab w:val="left" w:pos="851"/>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Finanšu instrumentu tirgus likuma 126.</w:t>
      </w:r>
      <w:r w:rsidRPr="00046FC6">
        <w:rPr>
          <w:rFonts w:ascii="Times New Roman" w:eastAsia="Times New Roman" w:hAnsi="Times New Roman" w:cs="Times New Roman"/>
          <w:bCs/>
          <w:sz w:val="24"/>
          <w:szCs w:val="24"/>
          <w:vertAlign w:val="superscript"/>
          <w:lang w:eastAsia="lv-LV"/>
        </w:rPr>
        <w:t>2</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pirm</w:t>
      </w:r>
      <w:r w:rsidR="00A017AB" w:rsidRPr="00046FC6">
        <w:rPr>
          <w:rFonts w:ascii="Times New Roman" w:eastAsia="Times New Roman" w:hAnsi="Times New Roman" w:cs="Times New Roman"/>
          <w:bCs/>
          <w:sz w:val="24"/>
          <w:szCs w:val="24"/>
          <w:lang w:eastAsia="lv-LV"/>
        </w:rPr>
        <w:t>ajā</w:t>
      </w:r>
      <w:r w:rsidRPr="00046FC6">
        <w:rPr>
          <w:rFonts w:ascii="Times New Roman" w:eastAsia="Times New Roman" w:hAnsi="Times New Roman" w:cs="Times New Roman"/>
          <w:bCs/>
          <w:sz w:val="24"/>
          <w:szCs w:val="24"/>
          <w:lang w:eastAsia="lv-LV"/>
        </w:rPr>
        <w:t xml:space="preserve"> un 1</w:t>
      </w:r>
      <w:r w:rsidR="000B50DA"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t>1</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daļā noteiktās atbilstības un piemērotības prasības;</w:t>
      </w:r>
    </w:p>
    <w:p w14:paraId="15E86210" w14:textId="109D075D" w:rsidR="00A017AB" w:rsidRPr="00046FC6" w:rsidRDefault="00B07C82" w:rsidP="00046FC6">
      <w:pPr>
        <w:pStyle w:val="ListParagraph"/>
        <w:numPr>
          <w:ilvl w:val="0"/>
          <w:numId w:val="11"/>
        </w:numPr>
        <w:tabs>
          <w:tab w:val="decimal" w:pos="426"/>
          <w:tab w:val="left" w:pos="709"/>
          <w:tab w:val="left" w:pos="851"/>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Finanšu instrumentu tirgus likuma 128.</w:t>
      </w:r>
      <w:r w:rsidRPr="00046FC6">
        <w:rPr>
          <w:rFonts w:ascii="Times New Roman" w:eastAsia="Times New Roman" w:hAnsi="Times New Roman" w:cs="Times New Roman"/>
          <w:bCs/>
          <w:sz w:val="24"/>
          <w:szCs w:val="24"/>
          <w:vertAlign w:val="superscript"/>
          <w:lang w:eastAsia="lv-LV"/>
        </w:rPr>
        <w:t>2</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pantā noteiktās labāko rezultātu nodrošināšana</w:t>
      </w:r>
      <w:r w:rsidR="00012B94"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klientam prasības;</w:t>
      </w:r>
    </w:p>
    <w:p w14:paraId="4D932484" w14:textId="7C493BEB" w:rsidR="00A017AB" w:rsidRPr="00046FC6" w:rsidRDefault="00B07C82" w:rsidP="00046FC6">
      <w:pPr>
        <w:pStyle w:val="ListParagraph"/>
        <w:numPr>
          <w:ilvl w:val="0"/>
          <w:numId w:val="11"/>
        </w:numPr>
        <w:tabs>
          <w:tab w:val="decimal" w:pos="426"/>
          <w:tab w:val="left" w:pos="709"/>
          <w:tab w:val="left" w:pos="851"/>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produktu pārvaldības prasības, kas noteiktas Finanšu instrumentu tirgu</w:t>
      </w:r>
      <w:r w:rsidR="00012B94"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likuma 127.</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vienpadsmitajā daļā un 128.</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1</w:t>
      </w:r>
      <w:r w:rsidR="00A017A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t>1</w:t>
      </w:r>
      <w:r w:rsidRPr="00046FC6">
        <w:rPr>
          <w:rFonts w:ascii="Times New Roman" w:eastAsia="Times New Roman" w:hAnsi="Times New Roman" w:cs="Times New Roman"/>
          <w:bCs/>
          <w:sz w:val="24"/>
          <w:szCs w:val="24"/>
          <w:lang w:eastAsia="lv-LV"/>
        </w:rPr>
        <w:t xml:space="preserve"> un 1</w:t>
      </w:r>
      <w:r w:rsidR="00A017AB" w:rsidRPr="00046FC6">
        <w:rPr>
          <w:rFonts w:ascii="Times New Roman" w:eastAsia="Times New Roman" w:hAnsi="Times New Roman" w:cs="Times New Roman"/>
          <w:bCs/>
          <w:sz w:val="24"/>
          <w:szCs w:val="24"/>
          <w:lang w:eastAsia="lv-LV"/>
        </w:rPr>
        <w:t>.</w:t>
      </w:r>
      <w:r w:rsidR="003608DB" w:rsidRPr="00046FC6">
        <w:rPr>
          <w:rFonts w:ascii="Times New Roman" w:eastAsia="Times New Roman" w:hAnsi="Times New Roman" w:cs="Times New Roman"/>
          <w:bCs/>
          <w:sz w:val="24"/>
          <w:szCs w:val="24"/>
          <w:vertAlign w:val="superscript"/>
          <w:lang w:eastAsia="lv-LV"/>
        </w:rPr>
        <w:t>2</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daļā;</w:t>
      </w:r>
    </w:p>
    <w:p w14:paraId="2D474DB5" w14:textId="24C468A0" w:rsidR="00B07C82" w:rsidRPr="00046FC6" w:rsidRDefault="00B07C82" w:rsidP="00046FC6">
      <w:pPr>
        <w:pStyle w:val="ListParagraph"/>
        <w:numPr>
          <w:ilvl w:val="0"/>
          <w:numId w:val="11"/>
        </w:numPr>
        <w:tabs>
          <w:tab w:val="decimal" w:pos="426"/>
          <w:tab w:val="left" w:pos="709"/>
          <w:tab w:val="left" w:pos="851"/>
        </w:tabs>
        <w:spacing w:after="120" w:line="240" w:lineRule="auto"/>
        <w:ind w:left="993" w:hanging="633"/>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PRIIP</w:t>
      </w:r>
      <w:r w:rsidR="0047783C"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regulas 5.–14.</w:t>
      </w:r>
      <w:r w:rsidR="00A017A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pantā noteiktās informācijas atklāšanas prasības.</w:t>
      </w:r>
    </w:p>
    <w:p w14:paraId="0A42D09A" w14:textId="68B6899C" w:rsidR="00B07C82" w:rsidRPr="00046FC6" w:rsidRDefault="00B07C82" w:rsidP="00220999">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 uzskata, ka spēkā esošās regulatīvās prasības pietiekami nenovērš ievērojamās bažas par ieguldītāju aizsardzību, kas izriet no bināro iespēju līgumu pazīmēm un EVTI un citu dalībvalstu uzraudzības iestāžu pierādījumiem par privāto klientu vēsturiski lieliem zaudējumiem.</w:t>
      </w:r>
    </w:p>
    <w:p w14:paraId="7F5857AD" w14:textId="09D7B0B4"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bookmarkStart w:id="13" w:name="_Hlk173938677"/>
      <w:r w:rsidRPr="00046FC6">
        <w:rPr>
          <w:rFonts w:ascii="Times New Roman" w:eastAsia="Times New Roman" w:hAnsi="Times New Roman" w:cs="Times New Roman"/>
          <w:b/>
          <w:sz w:val="24"/>
          <w:szCs w:val="24"/>
          <w:lang w:eastAsia="lv-LV"/>
        </w:rPr>
        <w:t>Šo jautājumu nevar risināt</w:t>
      </w:r>
      <w:r w:rsidR="00012B94" w:rsidRPr="00046FC6">
        <w:rPr>
          <w:rFonts w:ascii="Times New Roman" w:eastAsia="Times New Roman" w:hAnsi="Times New Roman" w:cs="Times New Roman"/>
          <w:b/>
          <w:sz w:val="24"/>
          <w:szCs w:val="24"/>
          <w:lang w:eastAsia="lv-LV"/>
        </w:rPr>
        <w:t xml:space="preserve"> labāk</w:t>
      </w:r>
      <w:r w:rsidRPr="00046FC6">
        <w:rPr>
          <w:rFonts w:ascii="Times New Roman" w:eastAsia="Times New Roman" w:hAnsi="Times New Roman" w:cs="Times New Roman"/>
          <w:b/>
          <w:sz w:val="24"/>
          <w:szCs w:val="24"/>
          <w:lang w:eastAsia="lv-LV"/>
        </w:rPr>
        <w:t>, uzlabojot uzraudzību vai spēkā esošo prasību izpildi (</w:t>
      </w:r>
      <w:bookmarkStart w:id="14" w:name="_Hlk174718352"/>
      <w:r w:rsidR="003757EC" w:rsidRPr="00046FC6">
        <w:rPr>
          <w:rFonts w:ascii="Times New Roman" w:eastAsia="Times New Roman" w:hAnsi="Times New Roman" w:cs="Times New Roman"/>
          <w:b/>
          <w:sz w:val="24"/>
          <w:szCs w:val="24"/>
          <w:lang w:eastAsia="lv-LV"/>
        </w:rPr>
        <w:t>Regulas Nr. 600/2014</w:t>
      </w:r>
      <w:r w:rsidRPr="00046FC6">
        <w:rPr>
          <w:rFonts w:ascii="Times New Roman" w:eastAsia="Times New Roman" w:hAnsi="Times New Roman" w:cs="Times New Roman"/>
          <w:b/>
          <w:sz w:val="24"/>
          <w:szCs w:val="24"/>
          <w:lang w:eastAsia="lv-LV"/>
        </w:rPr>
        <w:t xml:space="preserve"> </w:t>
      </w:r>
      <w:bookmarkEnd w:id="14"/>
      <w:r w:rsidRPr="00046FC6">
        <w:rPr>
          <w:rFonts w:ascii="Times New Roman" w:eastAsia="Times New Roman" w:hAnsi="Times New Roman" w:cs="Times New Roman"/>
          <w:b/>
          <w:sz w:val="24"/>
          <w:szCs w:val="24"/>
          <w:lang w:eastAsia="lv-LV"/>
        </w:rPr>
        <w:t>42.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b)</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7B2877A3" w14:textId="32A2AB07" w:rsidR="00B07C82" w:rsidRPr="00046FC6" w:rsidRDefault="003757EC"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Regulas Nr. 600/2014 </w:t>
      </w:r>
      <w:r w:rsidR="00B07C82" w:rsidRPr="00046FC6">
        <w:rPr>
          <w:rFonts w:ascii="Times New Roman" w:eastAsia="Times New Roman" w:hAnsi="Times New Roman" w:cs="Times New Roman"/>
          <w:bCs/>
          <w:sz w:val="24"/>
          <w:szCs w:val="24"/>
          <w:lang w:eastAsia="lv-LV"/>
        </w:rPr>
        <w:t>42.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punkta b)</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xml:space="preserve">apakšpunktā ir noteikts, ka </w:t>
      </w:r>
      <w:r w:rsidR="000B50DA" w:rsidRPr="00046FC6">
        <w:rPr>
          <w:rFonts w:ascii="Times New Roman" w:eastAsia="Times New Roman" w:hAnsi="Times New Roman" w:cs="Times New Roman"/>
          <w:bCs/>
          <w:sz w:val="24"/>
          <w:szCs w:val="24"/>
          <w:lang w:eastAsia="lv-LV"/>
        </w:rPr>
        <w:t xml:space="preserve">kompetentās iestādes var veikt šā panta 1. punktā minētos intervences pasākumus, ja ir pamatots pierādījums, ka </w:t>
      </w:r>
      <w:r w:rsidR="00B07C82" w:rsidRPr="00046FC6">
        <w:rPr>
          <w:rFonts w:ascii="Times New Roman" w:eastAsia="Times New Roman" w:hAnsi="Times New Roman" w:cs="Times New Roman"/>
          <w:bCs/>
          <w:sz w:val="24"/>
          <w:szCs w:val="24"/>
          <w:lang w:eastAsia="lv-LV"/>
        </w:rPr>
        <w:t>konstatētās ievērojamās bažas par ieguldītāju aizsardzību nevarētu labāk risināt ar uzlabotu uzraudzību vai spēkā esošo prasību izpildi.</w:t>
      </w:r>
    </w:p>
    <w:bookmarkEnd w:id="13"/>
    <w:p w14:paraId="618F6219" w14:textId="488CDF43" w:rsidR="00B07C82" w:rsidRPr="00046FC6" w:rsidRDefault="00B07C82" w:rsidP="00220999">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Šajā</w:t>
      </w:r>
      <w:r w:rsidR="000B50DA" w:rsidRPr="00046FC6">
        <w:rPr>
          <w:rFonts w:ascii="Times New Roman" w:eastAsia="Times New Roman" w:hAnsi="Times New Roman" w:cs="Times New Roman"/>
          <w:bCs/>
          <w:sz w:val="24"/>
          <w:szCs w:val="24"/>
          <w:lang w:eastAsia="lv-LV"/>
        </w:rPr>
        <w:t xml:space="preserve"> dokumentā</w:t>
      </w:r>
      <w:r w:rsidRPr="00046FC6">
        <w:rPr>
          <w:rFonts w:ascii="Times New Roman" w:eastAsia="Times New Roman" w:hAnsi="Times New Roman" w:cs="Times New Roman"/>
          <w:bCs/>
          <w:sz w:val="24"/>
          <w:szCs w:val="24"/>
          <w:lang w:eastAsia="lv-LV"/>
        </w:rPr>
        <w:t xml:space="preserve"> minētie pierādījumi rada bažas par to, ka bināro iespēju līgumu turpmāka izplatīšana privātajiem klientiem neļauj pārdevējam rīkoties klientu interesēs vai sniegt patiesu, skaidru un nemaldinošu informāciju. </w:t>
      </w:r>
      <w:r w:rsidR="00012B94" w:rsidRPr="00046FC6">
        <w:rPr>
          <w:rFonts w:ascii="Times New Roman" w:eastAsia="Times New Roman" w:hAnsi="Times New Roman" w:cs="Times New Roman"/>
          <w:bCs/>
          <w:sz w:val="24"/>
          <w:szCs w:val="24"/>
          <w:lang w:eastAsia="lv-LV"/>
        </w:rPr>
        <w:t xml:space="preserve">Līdz ar to </w:t>
      </w:r>
      <w:r w:rsidRPr="00046FC6">
        <w:rPr>
          <w:rFonts w:ascii="Times New Roman" w:eastAsia="Times New Roman" w:hAnsi="Times New Roman" w:cs="Times New Roman"/>
          <w:bCs/>
          <w:sz w:val="24"/>
          <w:szCs w:val="24"/>
          <w:lang w:eastAsia="lv-LV"/>
        </w:rPr>
        <w:t>dažādas individuālas uzraudzības darbības nekavējoties nenodrošinātu, ka tiek novērsts turpmāks kaitējums privātajiem klientiem, un nesniegtu atbilstošu alternatīvu prasību</w:t>
      </w:r>
      <w:r w:rsidR="00012B94" w:rsidRPr="00046FC6">
        <w:rPr>
          <w:rFonts w:ascii="Times New Roman" w:eastAsia="Times New Roman" w:hAnsi="Times New Roman" w:cs="Times New Roman"/>
          <w:bCs/>
          <w:sz w:val="24"/>
          <w:szCs w:val="24"/>
          <w:lang w:eastAsia="lv-LV"/>
        </w:rPr>
        <w:t xml:space="preserve"> attiecībā uz</w:t>
      </w:r>
      <w:r w:rsidRPr="00046FC6">
        <w:rPr>
          <w:rFonts w:ascii="Times New Roman" w:eastAsia="Times New Roman" w:hAnsi="Times New Roman" w:cs="Times New Roman"/>
          <w:bCs/>
          <w:sz w:val="24"/>
          <w:szCs w:val="24"/>
          <w:lang w:eastAsia="lv-LV"/>
        </w:rPr>
        <w:t xml:space="preserve"> bināro </w:t>
      </w:r>
      <w:r w:rsidR="000B50DA" w:rsidRPr="00046FC6">
        <w:rPr>
          <w:rFonts w:ascii="Times New Roman" w:eastAsia="Times New Roman" w:hAnsi="Times New Roman" w:cs="Times New Roman"/>
          <w:bCs/>
          <w:sz w:val="24"/>
          <w:szCs w:val="24"/>
          <w:lang w:eastAsia="lv-LV"/>
        </w:rPr>
        <w:t>iespēju līgumiem</w:t>
      </w:r>
      <w:r w:rsidR="00012B94" w:rsidRPr="00046FC6">
        <w:rPr>
          <w:rFonts w:ascii="Times New Roman" w:eastAsia="Times New Roman" w:hAnsi="Times New Roman" w:cs="Times New Roman"/>
          <w:bCs/>
          <w:sz w:val="24"/>
          <w:szCs w:val="24"/>
          <w:lang w:eastAsia="lv-LV"/>
        </w:rPr>
        <w:t xml:space="preserve"> noteikšanai</w:t>
      </w:r>
      <w:r w:rsidRPr="00046FC6">
        <w:rPr>
          <w:rFonts w:ascii="Times New Roman" w:eastAsia="Times New Roman" w:hAnsi="Times New Roman" w:cs="Times New Roman"/>
          <w:bCs/>
          <w:sz w:val="24"/>
          <w:szCs w:val="24"/>
          <w:lang w:eastAsia="lv-LV"/>
        </w:rPr>
        <w:t>.</w:t>
      </w:r>
    </w:p>
    <w:p w14:paraId="7DF6C863" w14:textId="14D14BE8"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2019.</w:t>
      </w:r>
      <w:r w:rsidR="003757E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24.</w:t>
      </w:r>
      <w:r w:rsidR="003757E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aprīlī Finanšu un kapitāla tirgus komisija brīdināja ieguldītājus par riskantiem ieguldījumu pakalpojumiem, kurus piedāvā pa tālruni (tostarp par binār</w:t>
      </w:r>
      <w:r w:rsidR="000B50DA" w:rsidRPr="00046FC6">
        <w:rPr>
          <w:rFonts w:ascii="Times New Roman" w:eastAsia="Times New Roman" w:hAnsi="Times New Roman" w:cs="Times New Roman"/>
          <w:bCs/>
          <w:sz w:val="24"/>
          <w:szCs w:val="24"/>
          <w:lang w:eastAsia="lv-LV"/>
        </w:rPr>
        <w:t xml:space="preserve">o </w:t>
      </w:r>
      <w:r w:rsidRPr="00046FC6">
        <w:rPr>
          <w:rFonts w:ascii="Times New Roman" w:eastAsia="Times New Roman" w:hAnsi="Times New Roman" w:cs="Times New Roman"/>
          <w:bCs/>
          <w:sz w:val="24"/>
          <w:szCs w:val="24"/>
          <w:lang w:eastAsia="lv-LV"/>
        </w:rPr>
        <w:t>iespēju līgumu piedāvājumu)</w:t>
      </w:r>
      <w:r w:rsidR="007337D2"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37"/>
      </w:r>
      <w:r w:rsidRPr="00046FC6">
        <w:rPr>
          <w:rFonts w:ascii="Times New Roman" w:eastAsia="Times New Roman" w:hAnsi="Times New Roman" w:cs="Times New Roman"/>
          <w:bCs/>
          <w:sz w:val="24"/>
          <w:szCs w:val="24"/>
          <w:lang w:eastAsia="lv-LV"/>
        </w:rPr>
        <w:t xml:space="preserve"> Finanšu un kapitāla tirgus komisija iepriekš bija uzsvērusi ar šiem spekulatīvajiem produktiem saistītos riskus un publicēja EVTI brīdinājumus par </w:t>
      </w:r>
      <w:r w:rsidR="000B50DA" w:rsidRPr="00046FC6">
        <w:rPr>
          <w:rFonts w:ascii="Times New Roman" w:eastAsia="Times New Roman" w:hAnsi="Times New Roman" w:cs="Times New Roman"/>
          <w:bCs/>
          <w:sz w:val="24"/>
          <w:szCs w:val="24"/>
          <w:lang w:eastAsia="lv-LV"/>
        </w:rPr>
        <w:t>bināro iespēju lī</w:t>
      </w:r>
      <w:r w:rsidR="007337D2" w:rsidRPr="00046FC6">
        <w:rPr>
          <w:rFonts w:ascii="Times New Roman" w:eastAsia="Times New Roman" w:hAnsi="Times New Roman" w:cs="Times New Roman"/>
          <w:bCs/>
          <w:sz w:val="24"/>
          <w:szCs w:val="24"/>
          <w:lang w:eastAsia="lv-LV"/>
        </w:rPr>
        <w:t>g</w:t>
      </w:r>
      <w:r w:rsidR="000B50DA" w:rsidRPr="00046FC6">
        <w:rPr>
          <w:rFonts w:ascii="Times New Roman" w:eastAsia="Times New Roman" w:hAnsi="Times New Roman" w:cs="Times New Roman"/>
          <w:bCs/>
          <w:sz w:val="24"/>
          <w:szCs w:val="24"/>
          <w:lang w:eastAsia="lv-LV"/>
        </w:rPr>
        <w:t xml:space="preserve">umiem, līgumiem par starpību un </w:t>
      </w:r>
      <w:r w:rsidRPr="00046FC6">
        <w:rPr>
          <w:rFonts w:ascii="Times New Roman" w:eastAsia="Times New Roman" w:hAnsi="Times New Roman" w:cs="Times New Roman"/>
          <w:bCs/>
          <w:sz w:val="24"/>
          <w:szCs w:val="24"/>
          <w:lang w:eastAsia="lv-LV"/>
        </w:rPr>
        <w:t>citiem spekulatīviem produktiem. Latvijas Banka ir cieši sadarbojusies ar EVTI jautājum</w:t>
      </w:r>
      <w:r w:rsidR="007337D2" w:rsidRPr="00046FC6">
        <w:rPr>
          <w:rFonts w:ascii="Times New Roman" w:eastAsia="Times New Roman" w:hAnsi="Times New Roman" w:cs="Times New Roman"/>
          <w:bCs/>
          <w:sz w:val="24"/>
          <w:szCs w:val="24"/>
          <w:lang w:eastAsia="lv-LV"/>
        </w:rPr>
        <w:t>os</w:t>
      </w:r>
      <w:r w:rsidRPr="00046FC6">
        <w:rPr>
          <w:rFonts w:ascii="Times New Roman" w:eastAsia="Times New Roman" w:hAnsi="Times New Roman" w:cs="Times New Roman"/>
          <w:bCs/>
          <w:sz w:val="24"/>
          <w:szCs w:val="24"/>
          <w:lang w:eastAsia="lv-LV"/>
        </w:rPr>
        <w:t xml:space="preserve">, kas saistīti ar bināro </w:t>
      </w:r>
      <w:r w:rsidR="001B3B5C" w:rsidRPr="00046FC6">
        <w:rPr>
          <w:rFonts w:ascii="Times New Roman" w:eastAsia="Times New Roman" w:hAnsi="Times New Roman" w:cs="Times New Roman"/>
          <w:bCs/>
          <w:sz w:val="24"/>
          <w:szCs w:val="24"/>
          <w:lang w:eastAsia="lv-LV"/>
        </w:rPr>
        <w:t xml:space="preserve">iespēju līgumu </w:t>
      </w:r>
      <w:r w:rsidRPr="00046FC6">
        <w:rPr>
          <w:rFonts w:ascii="Times New Roman" w:eastAsia="Times New Roman" w:hAnsi="Times New Roman" w:cs="Times New Roman"/>
          <w:bCs/>
          <w:sz w:val="24"/>
          <w:szCs w:val="24"/>
          <w:lang w:eastAsia="lv-LV"/>
        </w:rPr>
        <w:t>pārdošanu privātajiem klientiem.</w:t>
      </w:r>
    </w:p>
    <w:p w14:paraId="23BCAE4C" w14:textId="6B9E8E13"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Pirms EVTI bināro iespēju līgumu intervences </w:t>
      </w:r>
      <w:r w:rsidR="001B3B5C" w:rsidRPr="00046FC6">
        <w:rPr>
          <w:rFonts w:ascii="Times New Roman" w:eastAsia="Times New Roman" w:hAnsi="Times New Roman" w:cs="Times New Roman"/>
          <w:bCs/>
          <w:sz w:val="24"/>
          <w:szCs w:val="24"/>
          <w:lang w:eastAsia="lv-LV"/>
        </w:rPr>
        <w:t xml:space="preserve">lēmumu </w:t>
      </w:r>
      <w:r w:rsidRPr="00046FC6">
        <w:rPr>
          <w:rFonts w:ascii="Times New Roman" w:eastAsia="Times New Roman" w:hAnsi="Times New Roman" w:cs="Times New Roman"/>
          <w:bCs/>
          <w:sz w:val="24"/>
          <w:szCs w:val="24"/>
          <w:lang w:eastAsia="lv-LV"/>
        </w:rPr>
        <w:t xml:space="preserve">pieņemšanas EVTI veica vairākas nesaistošas darbības </w:t>
      </w:r>
      <w:r w:rsidR="007F424A" w:rsidRPr="00046FC6">
        <w:rPr>
          <w:rFonts w:ascii="Times New Roman" w:eastAsia="Times New Roman" w:hAnsi="Times New Roman" w:cs="Times New Roman"/>
          <w:bCs/>
          <w:sz w:val="24"/>
          <w:szCs w:val="24"/>
          <w:lang w:eastAsia="lv-LV"/>
        </w:rPr>
        <w:t>attiecībā uz</w:t>
      </w:r>
      <w:r w:rsidRPr="00046FC6">
        <w:rPr>
          <w:rFonts w:ascii="Times New Roman" w:eastAsia="Times New Roman" w:hAnsi="Times New Roman" w:cs="Times New Roman"/>
          <w:bCs/>
          <w:sz w:val="24"/>
          <w:szCs w:val="24"/>
          <w:lang w:eastAsia="lv-LV"/>
        </w:rPr>
        <w:t xml:space="preserve"> būtiskajām bažām par ieguldītāju aizsardzību, kas konstatētas saistībā ar bināro iespēju </w:t>
      </w:r>
      <w:r w:rsidR="001B3B5C" w:rsidRPr="00046FC6">
        <w:rPr>
          <w:rFonts w:ascii="Times New Roman" w:eastAsia="Times New Roman" w:hAnsi="Times New Roman" w:cs="Times New Roman"/>
          <w:bCs/>
          <w:sz w:val="24"/>
          <w:szCs w:val="24"/>
          <w:lang w:eastAsia="lv-LV"/>
        </w:rPr>
        <w:t xml:space="preserve">līgumu </w:t>
      </w:r>
      <w:r w:rsidRPr="00046FC6">
        <w:rPr>
          <w:rFonts w:ascii="Times New Roman" w:eastAsia="Times New Roman" w:hAnsi="Times New Roman" w:cs="Times New Roman"/>
          <w:bCs/>
          <w:sz w:val="24"/>
          <w:szCs w:val="24"/>
          <w:lang w:eastAsia="lv-LV"/>
        </w:rPr>
        <w:t xml:space="preserve">pārdošanu privātajiem klientiem. EVTI ir veikusi uzraudzības konverģences darbu un koordinējusi darbu, ko veic kopīga grupa, kas izveidota, lai risinātu jautājumus, kas saistīti ar vairākiem pārdevējiem, kuri piedāvā bināro iespēju līgumus, </w:t>
      </w:r>
      <w:r w:rsidR="001B3B5C" w:rsidRPr="00046FC6">
        <w:rPr>
          <w:rFonts w:ascii="Times New Roman" w:eastAsia="Times New Roman" w:hAnsi="Times New Roman" w:cs="Times New Roman"/>
          <w:bCs/>
          <w:sz w:val="24"/>
          <w:szCs w:val="24"/>
          <w:lang w:eastAsia="lv-LV"/>
        </w:rPr>
        <w:t>līgumus par starpību</w:t>
      </w:r>
      <w:r w:rsidRPr="00046FC6">
        <w:rPr>
          <w:rFonts w:ascii="Times New Roman" w:eastAsia="Times New Roman" w:hAnsi="Times New Roman" w:cs="Times New Roman"/>
          <w:bCs/>
          <w:sz w:val="24"/>
          <w:szCs w:val="24"/>
          <w:lang w:eastAsia="lv-LV"/>
        </w:rPr>
        <w:t xml:space="preserve"> un citus spekulatīvus produktus privātajiem klientiem pārrobežu mērogā visā </w:t>
      </w:r>
      <w:r w:rsidR="001B3B5C" w:rsidRPr="00046FC6">
        <w:rPr>
          <w:rFonts w:ascii="Times New Roman" w:eastAsia="Times New Roman" w:hAnsi="Times New Roman" w:cs="Times New Roman"/>
          <w:bCs/>
          <w:sz w:val="24"/>
          <w:szCs w:val="24"/>
          <w:lang w:eastAsia="lv-LV"/>
        </w:rPr>
        <w:t>Eiropas Savienībā</w:t>
      </w:r>
      <w:r w:rsidRPr="00046FC6">
        <w:rPr>
          <w:rFonts w:ascii="Times New Roman" w:eastAsia="Times New Roman" w:hAnsi="Times New Roman" w:cs="Times New Roman"/>
          <w:bCs/>
          <w:sz w:val="24"/>
          <w:szCs w:val="24"/>
          <w:lang w:eastAsia="lv-LV"/>
        </w:rPr>
        <w:t>. EVTI ir vairākkārt norādījusi uz bināro iespēju līgumu riskiem ieguldītāju brīdinājumos, jautājumos un atbildēs un savā atzinumā "Finanšu instrumentu tirgu direktīvas praks</w:t>
      </w:r>
      <w:r w:rsidR="00012B94" w:rsidRPr="00046FC6">
        <w:rPr>
          <w:rFonts w:ascii="Times New Roman" w:eastAsia="Times New Roman" w:hAnsi="Times New Roman" w:cs="Times New Roman"/>
          <w:bCs/>
          <w:sz w:val="24"/>
          <w:szCs w:val="24"/>
          <w:lang w:eastAsia="lv-LV"/>
        </w:rPr>
        <w:t>e</w:t>
      </w:r>
      <w:r w:rsidRPr="00046FC6">
        <w:rPr>
          <w:rFonts w:ascii="Times New Roman" w:eastAsia="Times New Roman" w:hAnsi="Times New Roman" w:cs="Times New Roman"/>
          <w:bCs/>
          <w:sz w:val="24"/>
          <w:szCs w:val="24"/>
          <w:lang w:eastAsia="lv-LV"/>
        </w:rPr>
        <w:t xml:space="preserve"> uzņēmumiem, kas pārdod sarežģītus produktus". Neraugoties uz to, ka EVTI </w:t>
      </w:r>
      <w:r w:rsidR="007337D2" w:rsidRPr="00046FC6">
        <w:rPr>
          <w:rFonts w:ascii="Times New Roman" w:eastAsia="Times New Roman" w:hAnsi="Times New Roman" w:cs="Times New Roman"/>
          <w:bCs/>
          <w:sz w:val="24"/>
          <w:szCs w:val="24"/>
          <w:lang w:eastAsia="lv-LV"/>
        </w:rPr>
        <w:t xml:space="preserve">ir </w:t>
      </w:r>
      <w:r w:rsidRPr="00046FC6">
        <w:rPr>
          <w:rFonts w:ascii="Times New Roman" w:eastAsia="Times New Roman" w:hAnsi="Times New Roman" w:cs="Times New Roman"/>
          <w:bCs/>
          <w:sz w:val="24"/>
          <w:szCs w:val="24"/>
          <w:lang w:eastAsia="lv-LV"/>
        </w:rPr>
        <w:t>plaši izmanto</w:t>
      </w:r>
      <w:r w:rsidR="001B3B5C" w:rsidRPr="00046FC6">
        <w:rPr>
          <w:rFonts w:ascii="Times New Roman" w:eastAsia="Times New Roman" w:hAnsi="Times New Roman" w:cs="Times New Roman"/>
          <w:bCs/>
          <w:sz w:val="24"/>
          <w:szCs w:val="24"/>
          <w:lang w:eastAsia="lv-LV"/>
        </w:rPr>
        <w:t>j</w:t>
      </w:r>
      <w:r w:rsidR="007337D2" w:rsidRPr="00046FC6">
        <w:rPr>
          <w:rFonts w:ascii="Times New Roman" w:eastAsia="Times New Roman" w:hAnsi="Times New Roman" w:cs="Times New Roman"/>
          <w:bCs/>
          <w:sz w:val="24"/>
          <w:szCs w:val="24"/>
          <w:lang w:eastAsia="lv-LV"/>
        </w:rPr>
        <w:t>usi</w:t>
      </w:r>
      <w:r w:rsidRPr="00046FC6">
        <w:rPr>
          <w:rFonts w:ascii="Times New Roman" w:eastAsia="Times New Roman" w:hAnsi="Times New Roman" w:cs="Times New Roman"/>
          <w:bCs/>
          <w:sz w:val="24"/>
          <w:szCs w:val="24"/>
          <w:lang w:eastAsia="lv-LV"/>
        </w:rPr>
        <w:t xml:space="preserve"> savus nesaistošos instrumentus, lai nodrošinātu piemērojamo spēkā esošo </w:t>
      </w:r>
      <w:r w:rsidRPr="00046FC6">
        <w:rPr>
          <w:rFonts w:ascii="Times New Roman" w:eastAsia="Times New Roman" w:hAnsi="Times New Roman" w:cs="Times New Roman"/>
          <w:bCs/>
          <w:sz w:val="24"/>
          <w:szCs w:val="24"/>
          <w:lang w:eastAsia="lv-LV"/>
        </w:rPr>
        <w:lastRenderedPageBreak/>
        <w:t>regulatīvo prasību konsekventu un efektīvu piemērošanu, joprojām pastāv bažas par ieguldītāju aizsardzību.</w:t>
      </w:r>
      <w:r w:rsidR="00012B94" w:rsidRPr="00046FC6">
        <w:rPr>
          <w:rFonts w:ascii="Times New Roman" w:eastAsia="Times New Roman" w:hAnsi="Times New Roman" w:cs="Times New Roman"/>
          <w:bCs/>
          <w:sz w:val="24"/>
          <w:szCs w:val="24"/>
          <w:lang w:eastAsia="lv-LV"/>
        </w:rPr>
        <w:t xml:space="preserve"> Līdz</w:t>
      </w:r>
      <w:r w:rsidRPr="00046FC6">
        <w:rPr>
          <w:rFonts w:ascii="Times New Roman" w:eastAsia="Times New Roman" w:hAnsi="Times New Roman" w:cs="Times New Roman"/>
          <w:bCs/>
          <w:sz w:val="24"/>
          <w:szCs w:val="24"/>
          <w:lang w:eastAsia="lv-LV"/>
        </w:rPr>
        <w:t xml:space="preserve"> </w:t>
      </w:r>
      <w:r w:rsidR="00012B94" w:rsidRPr="00046FC6">
        <w:rPr>
          <w:rFonts w:ascii="Times New Roman" w:eastAsia="Times New Roman" w:hAnsi="Times New Roman" w:cs="Times New Roman"/>
          <w:bCs/>
          <w:sz w:val="24"/>
          <w:szCs w:val="24"/>
          <w:lang w:eastAsia="lv-LV"/>
        </w:rPr>
        <w:t xml:space="preserve">ar to </w:t>
      </w:r>
      <w:r w:rsidR="001B3B5C" w:rsidRPr="00046FC6">
        <w:rPr>
          <w:rFonts w:ascii="Times New Roman" w:eastAsia="Times New Roman" w:hAnsi="Times New Roman" w:cs="Times New Roman"/>
          <w:bCs/>
          <w:sz w:val="24"/>
          <w:szCs w:val="24"/>
          <w:lang w:eastAsia="lv-LV"/>
        </w:rPr>
        <w:t>spēkā esošās</w:t>
      </w:r>
      <w:r w:rsidRPr="00046FC6">
        <w:rPr>
          <w:rFonts w:ascii="Times New Roman" w:eastAsia="Times New Roman" w:hAnsi="Times New Roman" w:cs="Times New Roman"/>
          <w:bCs/>
          <w:sz w:val="24"/>
          <w:szCs w:val="24"/>
          <w:lang w:eastAsia="lv-LV"/>
        </w:rPr>
        <w:t xml:space="preserve"> prasības nenovērš konstatētās bažas.</w:t>
      </w:r>
    </w:p>
    <w:p w14:paraId="7EDB80D2" w14:textId="7CF375C0"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Pasākums ir samērīgs, ņemot vērā identificēto risku būtību, attiecīgo ieguldītāju vai tirgus dalībnieku sarežģītības pakāpi un darbības iespējamo ietekmi uz ieguldītājiem un tirgus dalībniekiem, kuri var turēt, izmantot vai gūt labumu no finanšu instrumenta, strukturētā noguldījuma</w:t>
      </w:r>
      <w:r w:rsidR="001B3B5C" w:rsidRPr="00046FC6">
        <w:rPr>
          <w:rFonts w:ascii="Times New Roman" w:eastAsia="Times New Roman" w:hAnsi="Times New Roman" w:cs="Times New Roman"/>
          <w:b/>
          <w:sz w:val="24"/>
          <w:szCs w:val="24"/>
          <w:lang w:eastAsia="lv-LV"/>
        </w:rPr>
        <w:t>,</w:t>
      </w:r>
      <w:r w:rsidRPr="00046FC6">
        <w:rPr>
          <w:rFonts w:ascii="Times New Roman" w:eastAsia="Times New Roman" w:hAnsi="Times New Roman" w:cs="Times New Roman"/>
          <w:b/>
          <w:sz w:val="24"/>
          <w:szCs w:val="24"/>
          <w:lang w:eastAsia="lv-LV"/>
        </w:rPr>
        <w:t xml:space="preserve"> darbības vai prakses (</w:t>
      </w:r>
      <w:r w:rsidR="003757EC"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c)</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45E9F798" w14:textId="23BE6869"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uzskata, ka ir nepieciešams noteikt samērīgas prasības bināro iespēju līgumu </w:t>
      </w:r>
      <w:r w:rsidRPr="00046FC6">
        <w:rPr>
          <w:rFonts w:ascii="Times New Roman" w:eastAsia="Times New Roman" w:hAnsi="Times New Roman" w:cs="Times New Roman"/>
          <w:sz w:val="24"/>
          <w:lang w:eastAsia="lv-LV"/>
        </w:rPr>
        <w:t>reklāmai, izplatīšanai vai pārdošanai</w:t>
      </w:r>
      <w:r w:rsidRPr="00046FC6">
        <w:rPr>
          <w:rFonts w:ascii="Times New Roman" w:eastAsia="Times New Roman" w:hAnsi="Times New Roman" w:cs="Times New Roman"/>
          <w:bCs/>
          <w:sz w:val="24"/>
          <w:szCs w:val="24"/>
          <w:lang w:eastAsia="lv-LV"/>
        </w:rPr>
        <w:t xml:space="preserve"> privātajiem klientiem. </w:t>
      </w:r>
      <w:r w:rsidR="001B3B5C" w:rsidRPr="00046FC6">
        <w:rPr>
          <w:rFonts w:ascii="Times New Roman" w:eastAsia="Times New Roman" w:hAnsi="Times New Roman" w:cs="Times New Roman"/>
          <w:bCs/>
          <w:sz w:val="24"/>
          <w:szCs w:val="24"/>
          <w:lang w:eastAsia="lv-LV"/>
        </w:rPr>
        <w:t xml:space="preserve">Noteikumu projektā ietvertās </w:t>
      </w:r>
      <w:r w:rsidRPr="00046FC6">
        <w:rPr>
          <w:rFonts w:ascii="Times New Roman" w:eastAsia="Times New Roman" w:hAnsi="Times New Roman" w:cs="Times New Roman"/>
          <w:bCs/>
          <w:sz w:val="24"/>
          <w:szCs w:val="24"/>
          <w:lang w:eastAsia="lv-LV"/>
        </w:rPr>
        <w:t>prasības risina šo problēmu, nodrošinot pienācīgu aizsardzības līmeni privātajiem klientiem, kas iegādājas binār</w:t>
      </w:r>
      <w:r w:rsidR="001B3B5C" w:rsidRPr="00046FC6">
        <w:rPr>
          <w:rFonts w:ascii="Times New Roman" w:eastAsia="Times New Roman" w:hAnsi="Times New Roman" w:cs="Times New Roman"/>
          <w:bCs/>
          <w:sz w:val="24"/>
          <w:szCs w:val="24"/>
          <w:lang w:eastAsia="lv-LV"/>
        </w:rPr>
        <w:t xml:space="preserve">o iespēju līgumus </w:t>
      </w:r>
      <w:r w:rsidRPr="00046FC6">
        <w:rPr>
          <w:rFonts w:ascii="Times New Roman" w:eastAsia="Times New Roman" w:hAnsi="Times New Roman" w:cs="Times New Roman"/>
          <w:bCs/>
          <w:sz w:val="24"/>
          <w:szCs w:val="24"/>
          <w:lang w:eastAsia="lv-LV"/>
        </w:rPr>
        <w:t xml:space="preserve">Latvijā </w:t>
      </w:r>
      <w:r w:rsidR="001B3B5C" w:rsidRPr="00046FC6">
        <w:rPr>
          <w:rFonts w:ascii="Times New Roman" w:eastAsia="Times New Roman" w:hAnsi="Times New Roman" w:cs="Times New Roman"/>
          <w:bCs/>
          <w:sz w:val="24"/>
          <w:szCs w:val="24"/>
          <w:lang w:eastAsia="lv-LV"/>
        </w:rPr>
        <w:t xml:space="preserve">vai </w:t>
      </w:r>
      <w:r w:rsidRPr="00046FC6">
        <w:rPr>
          <w:rFonts w:ascii="Times New Roman" w:eastAsia="Times New Roman" w:hAnsi="Times New Roman" w:cs="Times New Roman"/>
          <w:bCs/>
          <w:sz w:val="24"/>
          <w:szCs w:val="24"/>
          <w:lang w:eastAsia="lv-LV"/>
        </w:rPr>
        <w:t xml:space="preserve">no tās. </w:t>
      </w:r>
      <w:r w:rsidR="001B3B5C" w:rsidRPr="00046FC6">
        <w:rPr>
          <w:rFonts w:ascii="Times New Roman" w:eastAsia="Times New Roman" w:hAnsi="Times New Roman" w:cs="Times New Roman"/>
          <w:bCs/>
          <w:sz w:val="24"/>
          <w:szCs w:val="24"/>
          <w:lang w:eastAsia="lv-LV"/>
        </w:rPr>
        <w:t xml:space="preserve">Noteikumu projektam </w:t>
      </w:r>
      <w:r w:rsidRPr="00046FC6">
        <w:rPr>
          <w:rFonts w:ascii="Times New Roman" w:eastAsia="Times New Roman" w:hAnsi="Times New Roman" w:cs="Times New Roman"/>
          <w:bCs/>
          <w:sz w:val="24"/>
          <w:szCs w:val="24"/>
          <w:lang w:eastAsia="lv-LV"/>
        </w:rPr>
        <w:t>nav tādas negatīvas ietekmes uz finanšu tirgu efektivitāti vai ieguldītājiem, kas būtu nesamērīga ar ieguvumiem.</w:t>
      </w:r>
    </w:p>
    <w:p w14:paraId="27B596FD" w14:textId="19A96CFC"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Tāpēc Latvijas Banka uzskata, ka </w:t>
      </w:r>
      <w:r w:rsidR="001B3B5C" w:rsidRPr="00046FC6">
        <w:rPr>
          <w:rFonts w:ascii="Times New Roman" w:eastAsia="Times New Roman" w:hAnsi="Times New Roman" w:cs="Times New Roman"/>
          <w:bCs/>
          <w:sz w:val="24"/>
          <w:szCs w:val="24"/>
          <w:lang w:eastAsia="lv-LV"/>
        </w:rPr>
        <w:t xml:space="preserve">noteikumu projektā ietvertās </w:t>
      </w:r>
      <w:r w:rsidRPr="00046FC6">
        <w:rPr>
          <w:rFonts w:ascii="Times New Roman" w:eastAsia="Times New Roman" w:hAnsi="Times New Roman" w:cs="Times New Roman"/>
          <w:bCs/>
          <w:sz w:val="24"/>
          <w:szCs w:val="24"/>
          <w:lang w:eastAsia="lv-LV"/>
        </w:rPr>
        <w:t xml:space="preserve">prasības, lai </w:t>
      </w:r>
      <w:r w:rsidRPr="00046FC6">
        <w:rPr>
          <w:rFonts w:ascii="Times New Roman" w:eastAsia="Times New Roman" w:hAnsi="Times New Roman" w:cs="Times New Roman"/>
          <w:bCs/>
          <w:sz w:val="24"/>
          <w:lang w:eastAsia="lv-LV"/>
        </w:rPr>
        <w:t>ierobežotu</w:t>
      </w:r>
      <w:r w:rsidRPr="00046FC6">
        <w:rPr>
          <w:rFonts w:ascii="Times New Roman" w:eastAsia="Times New Roman" w:hAnsi="Times New Roman" w:cs="Times New Roman"/>
          <w:bCs/>
          <w:sz w:val="24"/>
          <w:szCs w:val="24"/>
          <w:lang w:eastAsia="lv-LV"/>
        </w:rPr>
        <w:t xml:space="preserve"> visu veidu bināro iespēju līgumu </w:t>
      </w:r>
      <w:r w:rsidRPr="00046FC6">
        <w:rPr>
          <w:rFonts w:ascii="Times New Roman" w:eastAsia="Times New Roman" w:hAnsi="Times New Roman" w:cs="Times New Roman"/>
          <w:sz w:val="24"/>
          <w:lang w:eastAsia="lv-LV"/>
        </w:rPr>
        <w:t>reklām</w:t>
      </w:r>
      <w:r w:rsidR="001B3B5C" w:rsidRPr="00046FC6">
        <w:rPr>
          <w:rFonts w:ascii="Times New Roman" w:eastAsia="Times New Roman" w:hAnsi="Times New Roman" w:cs="Times New Roman"/>
          <w:sz w:val="24"/>
          <w:lang w:eastAsia="lv-LV"/>
        </w:rPr>
        <w:t>u</w:t>
      </w:r>
      <w:r w:rsidRPr="00046FC6">
        <w:rPr>
          <w:rFonts w:ascii="Times New Roman" w:eastAsia="Times New Roman" w:hAnsi="Times New Roman" w:cs="Times New Roman"/>
          <w:sz w:val="24"/>
          <w:lang w:eastAsia="lv-LV"/>
        </w:rPr>
        <w:t>, izplatīšan</w:t>
      </w:r>
      <w:r w:rsidR="001B3B5C" w:rsidRPr="00046FC6">
        <w:rPr>
          <w:rFonts w:ascii="Times New Roman" w:eastAsia="Times New Roman" w:hAnsi="Times New Roman" w:cs="Times New Roman"/>
          <w:sz w:val="24"/>
          <w:lang w:eastAsia="lv-LV"/>
        </w:rPr>
        <w:t>u</w:t>
      </w:r>
      <w:r w:rsidRPr="00046FC6">
        <w:rPr>
          <w:rFonts w:ascii="Times New Roman" w:eastAsia="Times New Roman" w:hAnsi="Times New Roman" w:cs="Times New Roman"/>
          <w:sz w:val="24"/>
          <w:lang w:eastAsia="lv-LV"/>
        </w:rPr>
        <w:t xml:space="preserve"> vai pārdošan</w:t>
      </w:r>
      <w:r w:rsidR="001B3B5C" w:rsidRPr="00046FC6">
        <w:rPr>
          <w:rFonts w:ascii="Times New Roman" w:eastAsia="Times New Roman" w:hAnsi="Times New Roman" w:cs="Times New Roman"/>
          <w:sz w:val="24"/>
          <w:lang w:eastAsia="lv-LV"/>
        </w:rPr>
        <w:t>u</w:t>
      </w:r>
      <w:r w:rsidRPr="00046FC6">
        <w:rPr>
          <w:rFonts w:ascii="Times New Roman" w:eastAsia="Times New Roman" w:hAnsi="Times New Roman" w:cs="Times New Roman"/>
          <w:bCs/>
          <w:sz w:val="24"/>
          <w:szCs w:val="24"/>
          <w:lang w:eastAsia="lv-LV"/>
        </w:rPr>
        <w:t xml:space="preserve"> privātajiem klientiem, ir piemērot</w:t>
      </w:r>
      <w:r w:rsidR="001B3B5C"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lai novērstu riskus ieguldītāju aizsardzībai.</w:t>
      </w:r>
      <w:r w:rsidR="007337D2" w:rsidRPr="00046FC6">
        <w:rPr>
          <w:rFonts w:ascii="Times New Roman" w:eastAsia="Times New Roman" w:hAnsi="Times New Roman" w:cs="Times New Roman"/>
          <w:bCs/>
          <w:sz w:val="24"/>
          <w:szCs w:val="24"/>
          <w:lang w:eastAsia="lv-LV"/>
        </w:rPr>
        <w:t xml:space="preserve"> </w:t>
      </w:r>
    </w:p>
    <w:p w14:paraId="29D51757" w14:textId="654CF75A"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uzskata, ka </w:t>
      </w:r>
      <w:r w:rsidR="000F1043" w:rsidRPr="00046FC6">
        <w:rPr>
          <w:rFonts w:ascii="Times New Roman" w:eastAsia="Times New Roman" w:hAnsi="Times New Roman" w:cs="Times New Roman"/>
          <w:bCs/>
          <w:sz w:val="24"/>
          <w:szCs w:val="24"/>
          <w:lang w:eastAsia="lv-LV"/>
        </w:rPr>
        <w:t xml:space="preserve">nav </w:t>
      </w:r>
      <w:r w:rsidRPr="00046FC6">
        <w:rPr>
          <w:rFonts w:ascii="Times New Roman" w:eastAsia="Times New Roman" w:hAnsi="Times New Roman" w:cs="Times New Roman"/>
          <w:bCs/>
          <w:sz w:val="24"/>
          <w:szCs w:val="24"/>
          <w:lang w:eastAsia="lv-LV"/>
        </w:rPr>
        <w:t>mazāk ierobežojoš</w:t>
      </w:r>
      <w:r w:rsidR="000F1043"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pasākum</w:t>
      </w:r>
      <w:r w:rsidR="000F1043" w:rsidRPr="00046FC6">
        <w:rPr>
          <w:rFonts w:ascii="Times New Roman" w:eastAsia="Times New Roman" w:hAnsi="Times New Roman" w:cs="Times New Roman"/>
          <w:bCs/>
          <w:sz w:val="24"/>
          <w:szCs w:val="24"/>
          <w:lang w:eastAsia="lv-LV"/>
        </w:rPr>
        <w:t>u, kuri</w:t>
      </w:r>
      <w:r w:rsidRPr="00046FC6">
        <w:rPr>
          <w:rFonts w:ascii="Times New Roman" w:eastAsia="Times New Roman" w:hAnsi="Times New Roman" w:cs="Times New Roman"/>
          <w:bCs/>
          <w:sz w:val="24"/>
          <w:szCs w:val="24"/>
          <w:lang w:eastAsia="lv-LV"/>
        </w:rPr>
        <w:t xml:space="preserve"> varētu novērst bināro iespēju līgumu galvenās iezīmes, kas rada būtiskas bažas par ieguldītāju aizsardzību.</w:t>
      </w:r>
    </w:p>
    <w:p w14:paraId="1E75ED9B" w14:textId="00DD76A8"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Pasākumiem nav diskriminējošas ietekmes uz pakalpojumiem, ko sniedz no citas dalībvalsts (</w:t>
      </w:r>
      <w:r w:rsidR="003757EC"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e)</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1C6302C2" w14:textId="356CF371" w:rsidR="00B07C82" w:rsidRPr="00046FC6" w:rsidRDefault="00B07C82"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uzskata, ka </w:t>
      </w:r>
      <w:r w:rsidR="001B3B5C" w:rsidRPr="00046FC6">
        <w:rPr>
          <w:rFonts w:ascii="Times New Roman" w:eastAsia="Times New Roman" w:hAnsi="Times New Roman" w:cs="Times New Roman"/>
          <w:bCs/>
          <w:sz w:val="24"/>
          <w:szCs w:val="24"/>
          <w:lang w:eastAsia="lv-LV"/>
        </w:rPr>
        <w:t xml:space="preserve">noteikumu projektā ietvertajām prasībām </w:t>
      </w:r>
      <w:r w:rsidRPr="00046FC6">
        <w:rPr>
          <w:rFonts w:ascii="Times New Roman" w:eastAsia="Times New Roman" w:hAnsi="Times New Roman" w:cs="Times New Roman"/>
          <w:bCs/>
          <w:sz w:val="24"/>
          <w:szCs w:val="24"/>
          <w:lang w:eastAsia="lv-LV"/>
        </w:rPr>
        <w:t>nav diskriminējošas ietekmes uz pakalpojumiem vai darbībām, kas tiek veiktas no citas dalībvalsts, jo šie pasākumi nodrošina vienlīdzīgu attieksmi pret bināro iespēju līgumu tirdzniecību, izplatīšanu vai pārdošanu neatkarīgi no dalībvalsts, no kuras šie pakalpojumi vai darbības tiek veiktas.</w:t>
      </w:r>
    </w:p>
    <w:p w14:paraId="11561154" w14:textId="625EF732" w:rsidR="00B07C82" w:rsidRPr="00046FC6" w:rsidRDefault="00B07C82"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Apspriešanās un paziņošana (</w:t>
      </w:r>
      <w:r w:rsidR="003757EC"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d) un f)</w:t>
      </w:r>
      <w:r w:rsidR="003757EC"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09394CE2" w14:textId="54BA1189" w:rsidR="00B07C82" w:rsidRPr="00046FC6" w:rsidRDefault="003757EC"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Regulas Nr. 600/2014 </w:t>
      </w:r>
      <w:r w:rsidR="00B07C82" w:rsidRPr="00046FC6">
        <w:rPr>
          <w:rFonts w:ascii="Times New Roman" w:eastAsia="Times New Roman" w:hAnsi="Times New Roman" w:cs="Times New Roman"/>
          <w:bCs/>
          <w:sz w:val="24"/>
          <w:szCs w:val="24"/>
          <w:lang w:eastAsia="lv-LV"/>
        </w:rPr>
        <w:t>42.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punkta d)</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xml:space="preserve">apakšpunkts paredz </w:t>
      </w:r>
      <w:r w:rsidR="00022AA6" w:rsidRPr="00046FC6">
        <w:rPr>
          <w:rFonts w:ascii="Times New Roman" w:eastAsia="Times New Roman" w:hAnsi="Times New Roman" w:cs="Times New Roman"/>
          <w:bCs/>
          <w:sz w:val="24"/>
          <w:szCs w:val="24"/>
          <w:lang w:eastAsia="lv-LV"/>
        </w:rPr>
        <w:t>kompetentajai iestādei (</w:t>
      </w:r>
      <w:r w:rsidR="00B07C82" w:rsidRPr="00046FC6">
        <w:rPr>
          <w:rFonts w:ascii="Times New Roman" w:eastAsia="Times New Roman" w:hAnsi="Times New Roman" w:cs="Times New Roman"/>
          <w:bCs/>
          <w:sz w:val="24"/>
          <w:szCs w:val="24"/>
          <w:lang w:eastAsia="lv-LV"/>
        </w:rPr>
        <w:t>Latvijas Bankai</w:t>
      </w:r>
      <w:r w:rsidR="00022AA6" w:rsidRPr="00046FC6">
        <w:rPr>
          <w:rFonts w:ascii="Times New Roman" w:eastAsia="Times New Roman" w:hAnsi="Times New Roman" w:cs="Times New Roman"/>
          <w:bCs/>
          <w:sz w:val="24"/>
          <w:szCs w:val="24"/>
          <w:lang w:eastAsia="lv-LV"/>
        </w:rPr>
        <w:t>)</w:t>
      </w:r>
      <w:r w:rsidR="00B07C82" w:rsidRPr="00046FC6">
        <w:rPr>
          <w:rFonts w:ascii="Times New Roman" w:eastAsia="Times New Roman" w:hAnsi="Times New Roman" w:cs="Times New Roman"/>
          <w:bCs/>
          <w:sz w:val="24"/>
          <w:szCs w:val="24"/>
          <w:lang w:eastAsia="lv-LV"/>
        </w:rPr>
        <w:t xml:space="preserve"> tiesības ierobežot konkrētu finanšu instrumentu piedāvāšanu dalībvalstī vai no tās, ja kompetentā iestāde ir pienācīgi apspriedusies ar kompetentajām iestādēm citās dalībvalstīs, kuras šī rīcība varētu ievērojami ietekmēt. Vienlaikus Regulas Nr. 600/2014 42.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panta 3.</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punkts paredz kompetent</w:t>
      </w:r>
      <w:r w:rsidR="00AB023D" w:rsidRPr="00046FC6">
        <w:rPr>
          <w:rFonts w:ascii="Times New Roman" w:eastAsia="Times New Roman" w:hAnsi="Times New Roman" w:cs="Times New Roman"/>
          <w:bCs/>
          <w:sz w:val="24"/>
          <w:szCs w:val="24"/>
          <w:lang w:eastAsia="lv-LV"/>
        </w:rPr>
        <w:t>aj</w:t>
      </w:r>
      <w:r w:rsidR="00B07C82" w:rsidRPr="00046FC6">
        <w:rPr>
          <w:rFonts w:ascii="Times New Roman" w:eastAsia="Times New Roman" w:hAnsi="Times New Roman" w:cs="Times New Roman"/>
          <w:bCs/>
          <w:sz w:val="24"/>
          <w:szCs w:val="24"/>
          <w:lang w:eastAsia="lv-LV"/>
        </w:rPr>
        <w:t>ai iestādei pienākumu vismaz mēnesi pirms ierobežojumu stāšanās spēkā detalizēti paziņot pārējo dalībvalstu kompetentajām iestādēm un EVTI</w:t>
      </w:r>
      <w:r w:rsidR="00E159AF" w:rsidRPr="00046FC6">
        <w:rPr>
          <w:rFonts w:ascii="Times New Roman" w:eastAsia="Times New Roman" w:hAnsi="Times New Roman" w:cs="Times New Roman"/>
          <w:bCs/>
          <w:sz w:val="24"/>
          <w:szCs w:val="24"/>
          <w:lang w:eastAsia="lv-LV"/>
        </w:rPr>
        <w:t xml:space="preserve"> par</w:t>
      </w:r>
      <w:r w:rsidR="00B07C82" w:rsidRPr="00046FC6">
        <w:rPr>
          <w:rFonts w:ascii="Times New Roman" w:eastAsia="Times New Roman" w:hAnsi="Times New Roman" w:cs="Times New Roman"/>
          <w:bCs/>
          <w:sz w:val="24"/>
          <w:szCs w:val="24"/>
          <w:lang w:eastAsia="lv-LV"/>
        </w:rPr>
        <w:t xml:space="preserve"> finanšu instrumentu, uz kur</w:t>
      </w:r>
      <w:r w:rsidR="00AB023D" w:rsidRPr="00046FC6">
        <w:rPr>
          <w:rFonts w:ascii="Times New Roman" w:eastAsia="Times New Roman" w:hAnsi="Times New Roman" w:cs="Times New Roman"/>
          <w:bCs/>
          <w:sz w:val="24"/>
          <w:szCs w:val="24"/>
          <w:lang w:eastAsia="lv-LV"/>
        </w:rPr>
        <w:t>iem</w:t>
      </w:r>
      <w:r w:rsidR="00B07C82" w:rsidRPr="00046FC6">
        <w:rPr>
          <w:rFonts w:ascii="Times New Roman" w:eastAsia="Times New Roman" w:hAnsi="Times New Roman" w:cs="Times New Roman"/>
          <w:bCs/>
          <w:sz w:val="24"/>
          <w:szCs w:val="24"/>
          <w:lang w:eastAsia="lv-LV"/>
        </w:rPr>
        <w:t xml:space="preserve"> ierobežojums attieksies, ierobežojuma veidu un to, kad tam paredzēts stāties spēkā, kā arī </w:t>
      </w:r>
      <w:r w:rsidR="00E159AF" w:rsidRPr="00046FC6">
        <w:rPr>
          <w:rFonts w:ascii="Times New Roman" w:eastAsia="Times New Roman" w:hAnsi="Times New Roman" w:cs="Times New Roman"/>
          <w:bCs/>
          <w:sz w:val="24"/>
          <w:szCs w:val="24"/>
          <w:lang w:eastAsia="lv-LV"/>
        </w:rPr>
        <w:t xml:space="preserve">sniegt </w:t>
      </w:r>
      <w:r w:rsidR="00B07C82" w:rsidRPr="00046FC6">
        <w:rPr>
          <w:rFonts w:ascii="Times New Roman" w:eastAsia="Times New Roman" w:hAnsi="Times New Roman" w:cs="Times New Roman"/>
          <w:bCs/>
          <w:sz w:val="24"/>
          <w:szCs w:val="24"/>
          <w:lang w:eastAsia="lv-LV"/>
        </w:rPr>
        <w:t>pierādījumus, uz kuriem pamatots lēmums piemērot ierobežojumus un kuri apliecina katra Regulas Nr.</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600/2014 42. panta 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punktā minētā nosacījuma izpildi. Lai nodrošinātu atbilstību šīm prasībām, Latvijas Banka pirms noteikumu projekta apstiprināšanas plāno konsultēties ar pārējām dalībvalstīm un EVTI.</w:t>
      </w:r>
    </w:p>
    <w:p w14:paraId="221FAA49" w14:textId="013F8672" w:rsidR="00B07C82" w:rsidRPr="00046FC6" w:rsidRDefault="003757EC" w:rsidP="00220999">
      <w:pPr>
        <w:numPr>
          <w:ilvl w:val="0"/>
          <w:numId w:val="8"/>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Regulas Nr. 600/2014 </w:t>
      </w:r>
      <w:r w:rsidR="00B07C82" w:rsidRPr="00046FC6">
        <w:rPr>
          <w:rFonts w:ascii="Times New Roman" w:eastAsia="Times New Roman" w:hAnsi="Times New Roman" w:cs="Times New Roman"/>
          <w:bCs/>
          <w:sz w:val="24"/>
          <w:szCs w:val="24"/>
          <w:lang w:eastAsia="lv-LV"/>
        </w:rPr>
        <w:t>42.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punkta f)</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 xml:space="preserve">apakšpunkts paredz Latvijas Bankai tiesības ierobežot konkrētu finanšu instrumentu piedāvāšanu dalībvalstī vai no tās, ja tā ir pienācīgi konsultējusies ar publiskajām struktūrām, kas ir atbildīgas par fizisku lauksaimniecības tirgu pārraudzību, pārvaldību un regulēšanu, </w:t>
      </w:r>
      <w:r w:rsidR="00AB023D" w:rsidRPr="00046FC6">
        <w:rPr>
          <w:rFonts w:ascii="Times New Roman" w:eastAsia="Times New Roman" w:hAnsi="Times New Roman" w:cs="Times New Roman"/>
          <w:bCs/>
          <w:sz w:val="24"/>
          <w:szCs w:val="24"/>
          <w:lang w:eastAsia="lv-LV"/>
        </w:rPr>
        <w:t>k</w:t>
      </w:r>
      <w:r w:rsidR="00B07C82" w:rsidRPr="00046FC6">
        <w:rPr>
          <w:rFonts w:ascii="Times New Roman" w:eastAsia="Times New Roman" w:hAnsi="Times New Roman" w:cs="Times New Roman"/>
          <w:bCs/>
          <w:sz w:val="24"/>
          <w:szCs w:val="24"/>
          <w:lang w:eastAsia="lv-LV"/>
        </w:rPr>
        <w:t>a</w:t>
      </w:r>
      <w:r w:rsidR="00C01B9C" w:rsidRPr="00046FC6">
        <w:rPr>
          <w:rFonts w:ascii="Times New Roman" w:eastAsia="Times New Roman" w:hAnsi="Times New Roman" w:cs="Times New Roman"/>
          <w:bCs/>
          <w:sz w:val="24"/>
          <w:szCs w:val="24"/>
          <w:lang w:eastAsia="lv-LV"/>
        </w:rPr>
        <w:t>d</w:t>
      </w:r>
      <w:r w:rsidR="00B07C82" w:rsidRPr="00046FC6">
        <w:rPr>
          <w:rFonts w:ascii="Times New Roman" w:eastAsia="Times New Roman" w:hAnsi="Times New Roman" w:cs="Times New Roman"/>
          <w:bCs/>
          <w:sz w:val="24"/>
          <w:szCs w:val="24"/>
          <w:lang w:eastAsia="lv-LV"/>
        </w:rPr>
        <w:t xml:space="preserve"> finanšu instruments rada nopietnus draudus pareizai fiziska lauksaimniecības tirgus darbībai un integritātei. Latvijas Bankas ieskatā bināro iespēju līgumi un līgumi par starpību nerada nopietnus draudus pareizai fiziska lauksaimniecības tirgus darbībai un integritātei. Tādēļ Regulas Nr.</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600/2014 42.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punkta f)</w:t>
      </w:r>
      <w:r w:rsidRPr="00046FC6">
        <w:rPr>
          <w:rFonts w:ascii="Times New Roman" w:eastAsia="Times New Roman" w:hAnsi="Times New Roman" w:cs="Times New Roman"/>
          <w:bCs/>
          <w:sz w:val="24"/>
          <w:szCs w:val="24"/>
          <w:lang w:eastAsia="lv-LV"/>
        </w:rPr>
        <w:t> </w:t>
      </w:r>
      <w:r w:rsidR="00B07C82" w:rsidRPr="00046FC6">
        <w:rPr>
          <w:rFonts w:ascii="Times New Roman" w:eastAsia="Times New Roman" w:hAnsi="Times New Roman" w:cs="Times New Roman"/>
          <w:bCs/>
          <w:sz w:val="24"/>
          <w:szCs w:val="24"/>
          <w:lang w:eastAsia="lv-LV"/>
        </w:rPr>
        <w:t>apakšpunkts uz noteikumu projektu nav attiecināms.</w:t>
      </w:r>
    </w:p>
    <w:p w14:paraId="55CCBA46" w14:textId="4382C1B3" w:rsidR="00843A49" w:rsidRPr="00046FC6" w:rsidRDefault="00843A49">
      <w:pPr>
        <w:rPr>
          <w:rFonts w:ascii="Times New Roman" w:hAnsi="Times New Roman" w:cs="Times New Roman"/>
          <w:sz w:val="24"/>
          <w:szCs w:val="24"/>
        </w:rPr>
      </w:pPr>
      <w:r w:rsidRPr="00046FC6">
        <w:rPr>
          <w:rFonts w:ascii="Times New Roman" w:hAnsi="Times New Roman" w:cs="Times New Roman"/>
          <w:sz w:val="24"/>
          <w:szCs w:val="24"/>
        </w:rPr>
        <w:br w:type="page"/>
      </w:r>
    </w:p>
    <w:p w14:paraId="679F03FD" w14:textId="12AB17E0" w:rsidR="00843A49" w:rsidRPr="00046FC6" w:rsidRDefault="00843A49" w:rsidP="00843A49">
      <w:pPr>
        <w:tabs>
          <w:tab w:val="decimal" w:pos="426"/>
        </w:tabs>
        <w:spacing w:after="0" w:line="240" w:lineRule="auto"/>
        <w:jc w:val="right"/>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lastRenderedPageBreak/>
        <w:t>2. pielikums</w:t>
      </w:r>
    </w:p>
    <w:p w14:paraId="72F8493F" w14:textId="4820AB28" w:rsidR="00BB7D3A" w:rsidRPr="00046FC6" w:rsidRDefault="00BB7D3A" w:rsidP="00843A49">
      <w:pPr>
        <w:tabs>
          <w:tab w:val="decimal" w:pos="426"/>
        </w:tabs>
        <w:spacing w:after="0" w:line="240" w:lineRule="auto"/>
        <w:jc w:val="right"/>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Bankas noteikumu projekta anotācijai</w:t>
      </w:r>
    </w:p>
    <w:p w14:paraId="5A68FF76" w14:textId="77777777" w:rsidR="00843A49" w:rsidRPr="00046FC6" w:rsidRDefault="00843A49" w:rsidP="00843A49">
      <w:pPr>
        <w:tabs>
          <w:tab w:val="decimal" w:pos="426"/>
        </w:tabs>
        <w:spacing w:after="0" w:line="240" w:lineRule="auto"/>
        <w:rPr>
          <w:rFonts w:ascii="Times New Roman" w:eastAsia="Times New Roman" w:hAnsi="Times New Roman" w:cs="Times New Roman"/>
          <w:b/>
          <w:sz w:val="24"/>
          <w:szCs w:val="24"/>
          <w:lang w:eastAsia="lv-LV"/>
        </w:rPr>
      </w:pPr>
    </w:p>
    <w:p w14:paraId="091D4A0E" w14:textId="6820EFEC" w:rsidR="00843A49" w:rsidRPr="00046FC6" w:rsidRDefault="00D852BC" w:rsidP="00046FC6">
      <w:pPr>
        <w:tabs>
          <w:tab w:val="decimal" w:pos="426"/>
        </w:tabs>
        <w:spacing w:after="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Pierādījumi Regulas Nr. 600/2014 42. panta 2. punkta un Deleģētās regulas Nr. 2017/567 21. panta nosacījumu izpildei attiecībā uz prasībām</w:t>
      </w:r>
      <w:r w:rsidR="00843A49" w:rsidRPr="00046FC6">
        <w:rPr>
          <w:rFonts w:ascii="Times New Roman" w:eastAsia="Times New Roman" w:hAnsi="Times New Roman" w:cs="Times New Roman"/>
          <w:b/>
          <w:sz w:val="24"/>
          <w:szCs w:val="24"/>
          <w:lang w:eastAsia="lv-LV"/>
        </w:rPr>
        <w:t xml:space="preserve"> </w:t>
      </w:r>
      <w:r w:rsidRPr="00046FC6">
        <w:rPr>
          <w:rFonts w:ascii="Times New Roman" w:eastAsia="Times New Roman" w:hAnsi="Times New Roman" w:cs="Times New Roman"/>
          <w:b/>
          <w:sz w:val="24"/>
          <w:szCs w:val="24"/>
          <w:lang w:eastAsia="lv-LV"/>
        </w:rPr>
        <w:t xml:space="preserve">finanšu </w:t>
      </w:r>
      <w:r w:rsidR="00843A49" w:rsidRPr="00046FC6">
        <w:rPr>
          <w:rFonts w:ascii="Times New Roman" w:eastAsia="Times New Roman" w:hAnsi="Times New Roman" w:cs="Times New Roman"/>
          <w:b/>
          <w:sz w:val="24"/>
          <w:szCs w:val="24"/>
          <w:lang w:eastAsia="lv-LV"/>
        </w:rPr>
        <w:t>līgum</w:t>
      </w:r>
      <w:r w:rsidRPr="00046FC6">
        <w:rPr>
          <w:rFonts w:ascii="Times New Roman" w:eastAsia="Times New Roman" w:hAnsi="Times New Roman" w:cs="Times New Roman"/>
          <w:b/>
          <w:sz w:val="24"/>
          <w:szCs w:val="24"/>
          <w:lang w:eastAsia="lv-LV"/>
        </w:rPr>
        <w:t>iem</w:t>
      </w:r>
      <w:r w:rsidR="00843A49" w:rsidRPr="00046FC6">
        <w:rPr>
          <w:rFonts w:ascii="Times New Roman" w:eastAsia="Times New Roman" w:hAnsi="Times New Roman" w:cs="Times New Roman"/>
          <w:b/>
          <w:sz w:val="24"/>
          <w:szCs w:val="24"/>
          <w:lang w:eastAsia="lv-LV"/>
        </w:rPr>
        <w:t xml:space="preserve"> par starpību</w:t>
      </w:r>
    </w:p>
    <w:p w14:paraId="43AEBC0D" w14:textId="77777777" w:rsidR="00843A49" w:rsidRPr="00046FC6" w:rsidRDefault="00843A49" w:rsidP="00046FC6">
      <w:pPr>
        <w:tabs>
          <w:tab w:val="decimal" w:pos="426"/>
        </w:tabs>
        <w:spacing w:after="0" w:line="240" w:lineRule="auto"/>
        <w:jc w:val="right"/>
        <w:rPr>
          <w:rFonts w:ascii="Times New Roman" w:eastAsia="Times New Roman" w:hAnsi="Times New Roman" w:cs="Times New Roman"/>
          <w:b/>
          <w:sz w:val="24"/>
          <w:szCs w:val="24"/>
          <w:lang w:eastAsia="lv-LV"/>
        </w:rPr>
      </w:pPr>
    </w:p>
    <w:p w14:paraId="217104B5" w14:textId="3EC6C1C9" w:rsidR="00843A49" w:rsidRPr="00046FC6" w:rsidRDefault="0058480F" w:rsidP="00046FC6">
      <w:pPr>
        <w:pStyle w:val="ListParagraph"/>
        <w:numPr>
          <w:ilvl w:val="0"/>
          <w:numId w:val="13"/>
        </w:numPr>
        <w:tabs>
          <w:tab w:val="left" w:pos="284"/>
          <w:tab w:val="decimal" w:pos="426"/>
        </w:tabs>
        <w:spacing w:after="120" w:line="240" w:lineRule="auto"/>
        <w:ind w:left="0" w:firstLine="0"/>
        <w:contextualSpacing w:val="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Noteikumu projekts</w:t>
      </w:r>
      <w:r w:rsidR="00843A49" w:rsidRPr="00046FC6">
        <w:rPr>
          <w:rFonts w:ascii="Times New Roman" w:eastAsia="Times New Roman" w:hAnsi="Times New Roman" w:cs="Times New Roman"/>
          <w:sz w:val="24"/>
          <w:lang w:eastAsia="lv-LV"/>
        </w:rPr>
        <w:t xml:space="preserve"> ievieš produktu intervences prasības nacionālā līmenī, kuru būtība un tvērums atspoguļo </w:t>
      </w:r>
      <w:r w:rsidR="00843A49" w:rsidRPr="00046FC6">
        <w:rPr>
          <w:rFonts w:ascii="Times New Roman" w:eastAsia="Times New Roman" w:hAnsi="Times New Roman" w:cs="Times New Roman"/>
          <w:sz w:val="24"/>
          <w:szCs w:val="24"/>
          <w:lang w:eastAsia="lv-LV"/>
        </w:rPr>
        <w:t xml:space="preserve">EVTI no 2018. gada 1. augusta uz </w:t>
      </w:r>
      <w:r w:rsidR="00056BB1" w:rsidRPr="00046FC6">
        <w:rPr>
          <w:rFonts w:ascii="Times New Roman" w:eastAsia="Times New Roman" w:hAnsi="Times New Roman" w:cs="Times New Roman"/>
          <w:sz w:val="24"/>
          <w:szCs w:val="24"/>
          <w:lang w:eastAsia="lv-LV"/>
        </w:rPr>
        <w:t>trim</w:t>
      </w:r>
      <w:r w:rsidR="00843A49" w:rsidRPr="00046FC6">
        <w:rPr>
          <w:rFonts w:ascii="Times New Roman" w:eastAsia="Times New Roman" w:hAnsi="Times New Roman" w:cs="Times New Roman"/>
          <w:sz w:val="24"/>
          <w:szCs w:val="24"/>
          <w:lang w:eastAsia="lv-LV"/>
        </w:rPr>
        <w:t> mēnešiem noteiktos pagaidu ierobežojumus līgumu par starpību reklamēšanai, izplatīšanai vai pārdošanai privātiem klientiem</w:t>
      </w:r>
      <w:r w:rsidR="00843A49" w:rsidRPr="00046FC6">
        <w:rPr>
          <w:rFonts w:ascii="Times New Roman" w:hAnsi="Times New Roman" w:cs="Times New Roman"/>
          <w:vertAlign w:val="superscript"/>
          <w:lang w:eastAsia="lv-LV"/>
        </w:rPr>
        <w:footnoteReference w:id="38"/>
      </w:r>
      <w:r w:rsidR="007277CC" w:rsidRPr="00046FC6">
        <w:rPr>
          <w:rFonts w:ascii="Times New Roman" w:eastAsia="Times New Roman" w:hAnsi="Times New Roman" w:cs="Times New Roman"/>
          <w:sz w:val="24"/>
          <w:szCs w:val="24"/>
          <w:lang w:eastAsia="lv-LV"/>
        </w:rPr>
        <w:t xml:space="preserve"> un</w:t>
      </w:r>
      <w:r w:rsidR="00843A49" w:rsidRPr="00046FC6">
        <w:rPr>
          <w:rFonts w:ascii="Times New Roman" w:eastAsia="Times New Roman" w:hAnsi="Times New Roman" w:cs="Times New Roman"/>
          <w:sz w:val="24"/>
          <w:szCs w:val="24"/>
          <w:lang w:eastAsia="lv-LV"/>
        </w:rPr>
        <w:t xml:space="preserve"> EVTI 2018. gada 1. </w:t>
      </w:r>
      <w:r w:rsidR="00843A49" w:rsidRPr="00046FC6">
        <w:rPr>
          <w:rFonts w:ascii="Times New Roman" w:eastAsia="Times New Roman" w:hAnsi="Times New Roman" w:cs="Times New Roman"/>
          <w:sz w:val="24"/>
          <w:lang w:eastAsia="lv-LV"/>
        </w:rPr>
        <w:t>novembrī</w:t>
      </w:r>
      <w:r w:rsidR="00843A49" w:rsidRPr="00046FC6">
        <w:rPr>
          <w:rFonts w:ascii="Times New Roman" w:hAnsi="Times New Roman" w:cs="Times New Roman"/>
          <w:vertAlign w:val="superscript"/>
          <w:lang w:eastAsia="lv-LV"/>
        </w:rPr>
        <w:footnoteReference w:id="39"/>
      </w:r>
      <w:r w:rsidR="00843A49" w:rsidRPr="00046FC6">
        <w:rPr>
          <w:rFonts w:ascii="Times New Roman" w:eastAsia="Times New Roman" w:hAnsi="Times New Roman" w:cs="Times New Roman"/>
          <w:sz w:val="24"/>
          <w:szCs w:val="24"/>
          <w:lang w:eastAsia="lv-LV"/>
        </w:rPr>
        <w:t>, 2019. gada 1. februārī</w:t>
      </w:r>
      <w:r w:rsidR="00843A49" w:rsidRPr="00046FC6">
        <w:rPr>
          <w:rFonts w:ascii="Times New Roman" w:hAnsi="Times New Roman" w:cs="Times New Roman"/>
          <w:vertAlign w:val="superscript"/>
          <w:lang w:eastAsia="lv-LV"/>
        </w:rPr>
        <w:footnoteReference w:id="40"/>
      </w:r>
      <w:r w:rsidR="00843A49" w:rsidRPr="00046FC6">
        <w:rPr>
          <w:rFonts w:ascii="Times New Roman" w:eastAsia="Times New Roman" w:hAnsi="Times New Roman" w:cs="Times New Roman"/>
          <w:sz w:val="24"/>
          <w:szCs w:val="24"/>
          <w:lang w:eastAsia="lv-LV"/>
        </w:rPr>
        <w:t xml:space="preserve"> un 2019. gada 1. maijā</w:t>
      </w:r>
      <w:r w:rsidR="00843A49" w:rsidRPr="00046FC6">
        <w:rPr>
          <w:rFonts w:ascii="Times New Roman" w:hAnsi="Times New Roman" w:cs="Times New Roman"/>
          <w:vertAlign w:val="superscript"/>
          <w:lang w:eastAsia="lv-LV"/>
        </w:rPr>
        <w:footnoteReference w:id="41"/>
      </w:r>
      <w:r w:rsidR="00843A49" w:rsidRPr="00046FC6">
        <w:rPr>
          <w:rFonts w:ascii="Times New Roman" w:eastAsia="Times New Roman" w:hAnsi="Times New Roman" w:cs="Times New Roman"/>
          <w:sz w:val="24"/>
          <w:szCs w:val="24"/>
          <w:lang w:eastAsia="lv-LV"/>
        </w:rPr>
        <w:t xml:space="preserve"> uz </w:t>
      </w:r>
      <w:r w:rsidR="00056BB1" w:rsidRPr="00046FC6">
        <w:rPr>
          <w:rFonts w:ascii="Times New Roman" w:eastAsia="Times New Roman" w:hAnsi="Times New Roman" w:cs="Times New Roman"/>
          <w:sz w:val="24"/>
          <w:szCs w:val="24"/>
          <w:lang w:eastAsia="lv-LV"/>
        </w:rPr>
        <w:t>trim</w:t>
      </w:r>
      <w:r w:rsidR="00843A49" w:rsidRPr="00046FC6">
        <w:rPr>
          <w:rFonts w:ascii="Times New Roman" w:eastAsia="Times New Roman" w:hAnsi="Times New Roman" w:cs="Times New Roman"/>
          <w:sz w:val="24"/>
          <w:szCs w:val="24"/>
          <w:lang w:eastAsia="lv-LV"/>
        </w:rPr>
        <w:t> mēnešiem atjauno</w:t>
      </w:r>
      <w:r w:rsidR="007277CC" w:rsidRPr="00046FC6">
        <w:rPr>
          <w:rFonts w:ascii="Times New Roman" w:eastAsia="Times New Roman" w:hAnsi="Times New Roman" w:cs="Times New Roman"/>
          <w:sz w:val="24"/>
          <w:szCs w:val="24"/>
          <w:lang w:eastAsia="lv-LV"/>
        </w:rPr>
        <w:t>tos</w:t>
      </w:r>
      <w:r w:rsidR="00843A49" w:rsidRPr="00046FC6">
        <w:rPr>
          <w:rFonts w:ascii="Times New Roman" w:eastAsia="Times New Roman" w:hAnsi="Times New Roman" w:cs="Times New Roman"/>
          <w:sz w:val="24"/>
          <w:szCs w:val="24"/>
          <w:lang w:eastAsia="lv-LV"/>
        </w:rPr>
        <w:t xml:space="preserve"> pagaidu ierobežojum</w:t>
      </w:r>
      <w:r w:rsidR="007B3E90" w:rsidRPr="00046FC6">
        <w:rPr>
          <w:rFonts w:ascii="Times New Roman" w:eastAsia="Times New Roman" w:hAnsi="Times New Roman" w:cs="Times New Roman"/>
          <w:sz w:val="24"/>
          <w:szCs w:val="24"/>
          <w:lang w:eastAsia="lv-LV"/>
        </w:rPr>
        <w:t>u</w:t>
      </w:r>
      <w:r w:rsidR="007277CC" w:rsidRPr="00046FC6">
        <w:rPr>
          <w:rFonts w:ascii="Times New Roman" w:eastAsia="Times New Roman" w:hAnsi="Times New Roman" w:cs="Times New Roman"/>
          <w:sz w:val="24"/>
          <w:szCs w:val="24"/>
          <w:lang w:eastAsia="lv-LV"/>
        </w:rPr>
        <w:t>s</w:t>
      </w:r>
      <w:r w:rsidR="00843A49" w:rsidRPr="00046FC6">
        <w:rPr>
          <w:rFonts w:ascii="Times New Roman" w:eastAsia="Times New Roman" w:hAnsi="Times New Roman" w:cs="Times New Roman"/>
          <w:sz w:val="24"/>
          <w:szCs w:val="24"/>
          <w:lang w:eastAsia="lv-LV"/>
        </w:rPr>
        <w:t xml:space="preserve"> līgumu par starpību tirdzniecībai, izplatīšanai vai pārdošanai privātiem klientiem</w:t>
      </w:r>
      <w:r w:rsidR="007277CC" w:rsidRPr="00046FC6">
        <w:rPr>
          <w:rFonts w:ascii="Times New Roman" w:eastAsia="Times New Roman" w:hAnsi="Times New Roman" w:cs="Times New Roman"/>
          <w:sz w:val="24"/>
          <w:szCs w:val="24"/>
          <w:lang w:eastAsia="lv-LV"/>
        </w:rPr>
        <w:t xml:space="preserve"> (turpmāk – </w:t>
      </w:r>
      <w:r w:rsidR="007277CC" w:rsidRPr="00046FC6">
        <w:rPr>
          <w:rFonts w:ascii="Times New Roman" w:eastAsia="Times New Roman" w:hAnsi="Times New Roman" w:cs="Times New Roman"/>
          <w:sz w:val="24"/>
          <w:lang w:eastAsia="lv-LV"/>
        </w:rPr>
        <w:t xml:space="preserve">EVTI </w:t>
      </w:r>
      <w:r w:rsidR="007277CC" w:rsidRPr="00046FC6">
        <w:rPr>
          <w:rFonts w:ascii="Times New Roman" w:eastAsia="Times New Roman" w:hAnsi="Times New Roman" w:cs="Times New Roman"/>
          <w:sz w:val="24"/>
          <w:szCs w:val="24"/>
          <w:lang w:eastAsia="lv-LV"/>
        </w:rPr>
        <w:t xml:space="preserve">finanšu līgumu par starpību </w:t>
      </w:r>
      <w:r w:rsidR="007277CC" w:rsidRPr="00046FC6">
        <w:rPr>
          <w:rFonts w:ascii="Times New Roman" w:eastAsia="Times New Roman" w:hAnsi="Times New Roman" w:cs="Times New Roman"/>
          <w:sz w:val="24"/>
          <w:lang w:eastAsia="lv-LV"/>
        </w:rPr>
        <w:t>intervences lēmumi</w:t>
      </w:r>
      <w:r w:rsidR="007277CC" w:rsidRPr="00046FC6">
        <w:rPr>
          <w:rFonts w:ascii="Times New Roman" w:eastAsia="Times New Roman" w:hAnsi="Times New Roman" w:cs="Times New Roman"/>
          <w:sz w:val="24"/>
          <w:szCs w:val="24"/>
          <w:lang w:eastAsia="lv-LV"/>
        </w:rPr>
        <w:t>)</w:t>
      </w:r>
      <w:r w:rsidR="00843A49" w:rsidRPr="00046FC6">
        <w:rPr>
          <w:rFonts w:ascii="Times New Roman" w:eastAsia="Times New Roman" w:hAnsi="Times New Roman" w:cs="Times New Roman"/>
          <w:sz w:val="24"/>
          <w:szCs w:val="24"/>
          <w:lang w:eastAsia="lv-LV"/>
        </w:rPr>
        <w:t xml:space="preserve">, </w:t>
      </w:r>
      <w:r w:rsidR="00843A49" w:rsidRPr="00046FC6">
        <w:rPr>
          <w:rFonts w:ascii="Times New Roman" w:eastAsia="Times New Roman" w:hAnsi="Times New Roman" w:cs="Times New Roman"/>
          <w:sz w:val="24"/>
          <w:lang w:eastAsia="lv-LV"/>
        </w:rPr>
        <w:t>k</w:t>
      </w:r>
      <w:r w:rsidR="007277CC" w:rsidRPr="00046FC6">
        <w:rPr>
          <w:rFonts w:ascii="Times New Roman" w:eastAsia="Times New Roman" w:hAnsi="Times New Roman" w:cs="Times New Roman"/>
          <w:sz w:val="24"/>
          <w:lang w:eastAsia="lv-LV"/>
        </w:rPr>
        <w:t xml:space="preserve">urus </w:t>
      </w:r>
      <w:r w:rsidR="00843A49" w:rsidRPr="00046FC6">
        <w:rPr>
          <w:rFonts w:ascii="Times New Roman" w:eastAsia="Times New Roman" w:hAnsi="Times New Roman" w:cs="Times New Roman"/>
          <w:sz w:val="24"/>
          <w:lang w:eastAsia="lv-LV"/>
        </w:rPr>
        <w:t xml:space="preserve">uz laiku piemēroja visās Eiropas Savienības dalībvalstīs. Liela daļa no </w:t>
      </w:r>
      <w:r w:rsidR="00843A49" w:rsidRPr="00046FC6">
        <w:rPr>
          <w:rFonts w:ascii="Times New Roman" w:eastAsia="Times New Roman" w:hAnsi="Times New Roman" w:cs="Times New Roman"/>
          <w:sz w:val="24"/>
          <w:szCs w:val="24"/>
          <w:lang w:eastAsia="lv-LV"/>
        </w:rPr>
        <w:t xml:space="preserve">EVTI </w:t>
      </w:r>
      <w:r w:rsidR="00843A49" w:rsidRPr="00046FC6">
        <w:rPr>
          <w:rFonts w:ascii="Times New Roman" w:eastAsia="Times New Roman" w:hAnsi="Times New Roman" w:cs="Times New Roman"/>
          <w:sz w:val="24"/>
          <w:lang w:eastAsia="lv-LV"/>
        </w:rPr>
        <w:t>apsvērumiem saistībā ar finanšu līgumu par starpību intervenci attiecas uz š</w:t>
      </w:r>
      <w:r w:rsidR="007B3E90" w:rsidRPr="00046FC6">
        <w:rPr>
          <w:rFonts w:ascii="Times New Roman" w:eastAsia="Times New Roman" w:hAnsi="Times New Roman" w:cs="Times New Roman"/>
          <w:sz w:val="24"/>
          <w:lang w:eastAsia="lv-LV"/>
        </w:rPr>
        <w:t>ā</w:t>
      </w:r>
      <w:r w:rsidR="00843A49" w:rsidRPr="00046FC6">
        <w:rPr>
          <w:rFonts w:ascii="Times New Roman" w:eastAsia="Times New Roman" w:hAnsi="Times New Roman" w:cs="Times New Roman"/>
          <w:sz w:val="24"/>
          <w:lang w:eastAsia="lv-LV"/>
        </w:rPr>
        <w:t xml:space="preserve"> instrumenta iezīmēm un būtību. Šie apsvērumi ir vienlīdz būtiski Latvijas Bankas pašas veiktajai analīzei. Latvijas Banka cieši sadarbojās ar EVTI, analizējot un novērtējot pierādījumus, kas bija EVTI finanšu līgumu par starpību intervences pamatā, un ir izvērtējusi EVTI apkopotos pierādījumus.</w:t>
      </w:r>
    </w:p>
    <w:p w14:paraId="134F88EA" w14:textId="0F603FE9"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 xml:space="preserve">Latvijas Bankas novērtējums par </w:t>
      </w:r>
      <w:r w:rsidR="004C2CF3" w:rsidRPr="00046FC6">
        <w:rPr>
          <w:rFonts w:ascii="Times New Roman" w:eastAsia="Times New Roman" w:hAnsi="Times New Roman" w:cs="Times New Roman"/>
          <w:sz w:val="24"/>
          <w:lang w:eastAsia="lv-LV"/>
        </w:rPr>
        <w:t xml:space="preserve">noteikumu projekta atbilstību </w:t>
      </w:r>
      <w:r w:rsidR="00A87784" w:rsidRPr="00046FC6">
        <w:rPr>
          <w:rFonts w:ascii="Times New Roman" w:eastAsia="Times New Roman" w:hAnsi="Times New Roman" w:cs="Times New Roman"/>
          <w:sz w:val="24"/>
          <w:lang w:eastAsia="lv-LV"/>
        </w:rPr>
        <w:t xml:space="preserve">Regulas Nr. 600/2014 </w:t>
      </w:r>
      <w:r w:rsidRPr="00046FC6">
        <w:rPr>
          <w:rFonts w:ascii="Times New Roman" w:eastAsia="Times New Roman" w:hAnsi="Times New Roman" w:cs="Times New Roman"/>
          <w:sz w:val="24"/>
          <w:lang w:eastAsia="lv-LV"/>
        </w:rPr>
        <w:t>42.</w:t>
      </w:r>
      <w:r w:rsidR="00A87784"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 xml:space="preserve">panta 2. punktā minētajiem kritērijiem balstās uz pierādījumiem un analīzi, ko EVTI ir ieguvusi, novērtējot </w:t>
      </w:r>
      <w:r w:rsidR="004C2CF3" w:rsidRPr="00046FC6">
        <w:rPr>
          <w:rFonts w:ascii="Times New Roman" w:eastAsia="Times New Roman" w:hAnsi="Times New Roman" w:cs="Times New Roman"/>
          <w:sz w:val="24"/>
          <w:lang w:eastAsia="lv-LV"/>
        </w:rPr>
        <w:t xml:space="preserve">EVTI </w:t>
      </w:r>
      <w:r w:rsidR="004C2CF3" w:rsidRPr="00046FC6">
        <w:rPr>
          <w:rFonts w:ascii="Times New Roman" w:eastAsia="Times New Roman" w:hAnsi="Times New Roman" w:cs="Times New Roman"/>
          <w:sz w:val="24"/>
          <w:szCs w:val="24"/>
          <w:lang w:eastAsia="lv-LV"/>
        </w:rPr>
        <w:t xml:space="preserve">finanšu līgumu par starpību </w:t>
      </w:r>
      <w:r w:rsidR="004C2CF3" w:rsidRPr="00046FC6">
        <w:rPr>
          <w:rFonts w:ascii="Times New Roman" w:eastAsia="Times New Roman" w:hAnsi="Times New Roman" w:cs="Times New Roman"/>
          <w:sz w:val="24"/>
          <w:lang w:eastAsia="lv-LV"/>
        </w:rPr>
        <w:t xml:space="preserve">intervences lēmumu </w:t>
      </w:r>
      <w:r w:rsidRPr="00046FC6">
        <w:rPr>
          <w:rFonts w:ascii="Times New Roman" w:eastAsia="Times New Roman" w:hAnsi="Times New Roman" w:cs="Times New Roman"/>
          <w:sz w:val="24"/>
          <w:lang w:eastAsia="lv-LV"/>
        </w:rPr>
        <w:t xml:space="preserve">atbilstību </w:t>
      </w:r>
      <w:r w:rsidR="00A87784" w:rsidRPr="00046FC6">
        <w:rPr>
          <w:rFonts w:ascii="Times New Roman" w:eastAsia="Times New Roman" w:hAnsi="Times New Roman" w:cs="Times New Roman"/>
          <w:sz w:val="24"/>
          <w:lang w:eastAsia="lv-LV"/>
        </w:rPr>
        <w:t xml:space="preserve">Regulas Nr. 600/2014 </w:t>
      </w:r>
      <w:r w:rsidRPr="00046FC6">
        <w:rPr>
          <w:rFonts w:ascii="Times New Roman" w:eastAsia="Times New Roman" w:hAnsi="Times New Roman" w:cs="Times New Roman"/>
          <w:sz w:val="24"/>
          <w:lang w:eastAsia="lv-LV"/>
        </w:rPr>
        <w:t>40.</w:t>
      </w:r>
      <w:r w:rsidR="00A87784"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panta 2.</w:t>
      </w:r>
      <w:r w:rsidR="00A87784"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punkta nosacījumiem. Tas ietver pierādījumus un analīzi, kas izklāstīta:</w:t>
      </w:r>
    </w:p>
    <w:p w14:paraId="6D4430AD" w14:textId="5F048429" w:rsidR="00843A49" w:rsidRPr="00046FC6" w:rsidRDefault="00843A49" w:rsidP="00423108">
      <w:pPr>
        <w:tabs>
          <w:tab w:val="decimal" w:pos="426"/>
        </w:tabs>
        <w:spacing w:after="120" w:line="240" w:lineRule="auto"/>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a</w:t>
      </w:r>
      <w:r w:rsidR="00A87784" w:rsidRPr="00046FC6">
        <w:rPr>
          <w:rFonts w:ascii="Times New Roman" w:eastAsia="Times New Roman" w:hAnsi="Times New Roman" w:cs="Times New Roman"/>
          <w:sz w:val="24"/>
          <w:lang w:eastAsia="lv-LV"/>
        </w:rPr>
        <w:t>)</w:t>
      </w:r>
      <w:r w:rsidRPr="00046FC6">
        <w:rPr>
          <w:rFonts w:ascii="Times New Roman" w:eastAsia="Times New Roman" w:hAnsi="Times New Roman" w:cs="Times New Roman"/>
          <w:sz w:val="24"/>
          <w:lang w:eastAsia="lv-LV"/>
        </w:rPr>
        <w:t xml:space="preserve"> EVTI </w:t>
      </w:r>
      <w:r w:rsidRPr="00046FC6">
        <w:rPr>
          <w:rFonts w:ascii="Times New Roman" w:eastAsia="Times New Roman" w:hAnsi="Times New Roman" w:cs="Times New Roman"/>
          <w:sz w:val="24"/>
          <w:szCs w:val="24"/>
          <w:lang w:eastAsia="lv-LV"/>
        </w:rPr>
        <w:t xml:space="preserve">finanšu līgumu par starpību </w:t>
      </w:r>
      <w:r w:rsidRPr="00046FC6">
        <w:rPr>
          <w:rFonts w:ascii="Times New Roman" w:eastAsia="Times New Roman" w:hAnsi="Times New Roman" w:cs="Times New Roman"/>
          <w:sz w:val="24"/>
          <w:lang w:eastAsia="lv-LV"/>
        </w:rPr>
        <w:t>intervences lēmum</w:t>
      </w:r>
      <w:r w:rsidR="004C2CF3" w:rsidRPr="00046FC6">
        <w:rPr>
          <w:rFonts w:ascii="Times New Roman" w:eastAsia="Times New Roman" w:hAnsi="Times New Roman" w:cs="Times New Roman"/>
          <w:sz w:val="24"/>
          <w:lang w:eastAsia="lv-LV"/>
        </w:rPr>
        <w:t>os</w:t>
      </w:r>
      <w:r w:rsidRPr="00046FC6">
        <w:rPr>
          <w:rFonts w:ascii="Times New Roman" w:eastAsia="Times New Roman" w:hAnsi="Times New Roman" w:cs="Times New Roman"/>
          <w:sz w:val="24"/>
          <w:lang w:eastAsia="lv-LV"/>
        </w:rPr>
        <w:t>, kuros ir izklāstīti pierādījumi no visām dalībvalstīm saistībā ar līgumu par starpību pārdošanu privātajiem klientiem pārrobežu mērogā;</w:t>
      </w:r>
    </w:p>
    <w:p w14:paraId="6C0C5B79" w14:textId="7396B70E" w:rsidR="00843A49" w:rsidRPr="00046FC6" w:rsidRDefault="00843A49" w:rsidP="00423108">
      <w:pPr>
        <w:tabs>
          <w:tab w:val="decimal" w:pos="426"/>
        </w:tabs>
        <w:spacing w:after="120" w:line="240" w:lineRule="auto"/>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b</w:t>
      </w:r>
      <w:r w:rsidR="00A87784"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sz w:val="24"/>
          <w:lang w:eastAsia="lv-LV"/>
        </w:rPr>
        <w:t xml:space="preserve">EVTI veiktajā </w:t>
      </w:r>
      <w:r w:rsidR="004C2CF3" w:rsidRPr="00046FC6">
        <w:rPr>
          <w:rFonts w:ascii="Times New Roman" w:eastAsia="Times New Roman" w:hAnsi="Times New Roman" w:cs="Times New Roman"/>
          <w:sz w:val="24"/>
          <w:lang w:eastAsia="lv-LV"/>
        </w:rPr>
        <w:t>p</w:t>
      </w:r>
      <w:r w:rsidRPr="00046FC6">
        <w:rPr>
          <w:rFonts w:ascii="Times New Roman" w:eastAsia="Times New Roman" w:hAnsi="Times New Roman" w:cs="Times New Roman"/>
          <w:sz w:val="24"/>
          <w:lang w:eastAsia="lv-LV"/>
        </w:rPr>
        <w:t>roduktu intervences analīzē</w:t>
      </w:r>
      <w:r w:rsidR="00A87784"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 xml:space="preserve">attiecībā uz </w:t>
      </w:r>
      <w:r w:rsidRPr="00046FC6">
        <w:rPr>
          <w:rFonts w:ascii="Times New Roman" w:eastAsia="Times New Roman" w:hAnsi="Times New Roman" w:cs="Times New Roman"/>
          <w:sz w:val="24"/>
          <w:szCs w:val="24"/>
          <w:lang w:eastAsia="lv-LV"/>
        </w:rPr>
        <w:t>līgumiem par starpību</w:t>
      </w:r>
      <w:r w:rsidRPr="00046FC6">
        <w:rPr>
          <w:rFonts w:ascii="Times New Roman" w:eastAsia="Times New Roman" w:hAnsi="Times New Roman" w:cs="Times New Roman"/>
          <w:sz w:val="24"/>
          <w:vertAlign w:val="superscript"/>
          <w:lang w:eastAsia="lv-LV"/>
        </w:rPr>
        <w:footnoteReference w:id="42"/>
      </w:r>
      <w:r w:rsidRPr="00046FC6">
        <w:rPr>
          <w:rFonts w:ascii="Times New Roman" w:eastAsia="Times New Roman" w:hAnsi="Times New Roman" w:cs="Times New Roman"/>
          <w:sz w:val="24"/>
          <w:lang w:eastAsia="lv-LV"/>
        </w:rPr>
        <w:t>.</w:t>
      </w:r>
    </w:p>
    <w:p w14:paraId="6E2E4531" w14:textId="7E6AE56F"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sz w:val="24"/>
          <w:lang w:eastAsia="lv-LV"/>
        </w:rPr>
        <w:t>Latvijas Bankas novērtējums, kas izklāstīts turpmāk, ir balstīts uz būtiskiem pierādījumiem, ko iepriekšējos gados savākušas citu dalībvalstu uzraudzības iestādes un EVTI.</w:t>
      </w:r>
    </w:p>
    <w:p w14:paraId="423135EE" w14:textId="22A6BB58" w:rsidR="00843A49" w:rsidRPr="00046FC6" w:rsidRDefault="00843A49" w:rsidP="00046FC6">
      <w:pPr>
        <w:tabs>
          <w:tab w:val="decimal" w:pos="426"/>
        </w:tabs>
        <w:spacing w:after="120" w:line="240" w:lineRule="auto"/>
        <w:rPr>
          <w:rFonts w:ascii="Times New Roman" w:eastAsia="Times New Roman" w:hAnsi="Times New Roman" w:cs="Times New Roman"/>
          <w:sz w:val="24"/>
          <w:lang w:eastAsia="lv-LV"/>
        </w:rPr>
      </w:pPr>
      <w:r w:rsidRPr="00046FC6">
        <w:rPr>
          <w:rFonts w:ascii="Times New Roman" w:eastAsia="Times New Roman" w:hAnsi="Times New Roman" w:cs="Times New Roman"/>
          <w:b/>
          <w:sz w:val="24"/>
          <w:szCs w:val="24"/>
          <w:lang w:eastAsia="lv-LV"/>
        </w:rPr>
        <w:t>Ievērojamas bažas par ieguldītāju aizsardzību (</w:t>
      </w:r>
      <w:r w:rsidR="00A87784"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A87784"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A87784"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a) apakšpunkts)</w:t>
      </w:r>
    </w:p>
    <w:p w14:paraId="053F61BB" w14:textId="623DF268" w:rsidR="00843A49" w:rsidRPr="00046FC6" w:rsidRDefault="00A87784"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 xml:space="preserve">Regulas Nr. 600/2014 </w:t>
      </w:r>
      <w:r w:rsidR="00843A49" w:rsidRPr="00046FC6">
        <w:rPr>
          <w:rFonts w:ascii="Times New Roman" w:eastAsia="Times New Roman" w:hAnsi="Times New Roman" w:cs="Times New Roman"/>
          <w:sz w:val="24"/>
          <w:lang w:eastAsia="lv-LV"/>
        </w:rPr>
        <w:t>42.</w:t>
      </w:r>
      <w:r w:rsidRPr="00046FC6">
        <w:rPr>
          <w:rFonts w:ascii="Times New Roman" w:eastAsia="Times New Roman" w:hAnsi="Times New Roman" w:cs="Times New Roman"/>
          <w:sz w:val="24"/>
          <w:lang w:eastAsia="lv-LV"/>
        </w:rPr>
        <w:t> </w:t>
      </w:r>
      <w:r w:rsidR="00843A49" w:rsidRPr="00046FC6">
        <w:rPr>
          <w:rFonts w:ascii="Times New Roman" w:eastAsia="Times New Roman" w:hAnsi="Times New Roman" w:cs="Times New Roman"/>
          <w:sz w:val="24"/>
          <w:lang w:eastAsia="lv-LV"/>
        </w:rPr>
        <w:t>panta 2.</w:t>
      </w:r>
      <w:r w:rsidRPr="00046FC6">
        <w:rPr>
          <w:rFonts w:ascii="Times New Roman" w:eastAsia="Times New Roman" w:hAnsi="Times New Roman" w:cs="Times New Roman"/>
          <w:sz w:val="24"/>
          <w:lang w:eastAsia="lv-LV"/>
        </w:rPr>
        <w:t> </w:t>
      </w:r>
      <w:r w:rsidR="00843A49" w:rsidRPr="00046FC6">
        <w:rPr>
          <w:rFonts w:ascii="Times New Roman" w:eastAsia="Times New Roman" w:hAnsi="Times New Roman" w:cs="Times New Roman"/>
          <w:sz w:val="24"/>
          <w:lang w:eastAsia="lv-LV"/>
        </w:rPr>
        <w:t>punkta a)</w:t>
      </w:r>
      <w:r w:rsidRPr="00046FC6">
        <w:rPr>
          <w:rFonts w:ascii="Times New Roman" w:eastAsia="Times New Roman" w:hAnsi="Times New Roman" w:cs="Times New Roman"/>
          <w:sz w:val="24"/>
          <w:lang w:eastAsia="lv-LV"/>
        </w:rPr>
        <w:t> </w:t>
      </w:r>
      <w:r w:rsidR="00843A49" w:rsidRPr="00046FC6">
        <w:rPr>
          <w:rFonts w:ascii="Times New Roman" w:eastAsia="Times New Roman" w:hAnsi="Times New Roman" w:cs="Times New Roman"/>
          <w:sz w:val="24"/>
          <w:lang w:eastAsia="lv-LV"/>
        </w:rPr>
        <w:t xml:space="preserve">apakšpunktā ir noteikts, ka </w:t>
      </w:r>
      <w:r w:rsidR="004C2CF3" w:rsidRPr="00046FC6">
        <w:rPr>
          <w:rFonts w:ascii="Times New Roman" w:eastAsia="Times New Roman" w:hAnsi="Times New Roman" w:cs="Times New Roman"/>
          <w:sz w:val="24"/>
          <w:lang w:eastAsia="lv-LV"/>
        </w:rPr>
        <w:t xml:space="preserve">kompetentā iestāde (tātad arī Latvijas Banka) </w:t>
      </w:r>
      <w:r w:rsidR="00843A49" w:rsidRPr="00046FC6">
        <w:rPr>
          <w:rFonts w:ascii="Times New Roman" w:eastAsia="Times New Roman" w:hAnsi="Times New Roman" w:cs="Times New Roman"/>
          <w:sz w:val="24"/>
          <w:lang w:eastAsia="lv-LV"/>
        </w:rPr>
        <w:t>var noteikt prasības, ja tai ir pamatots iemesls uzskatīt, ka finanšu instruments, strukturētais depozīts</w:t>
      </w:r>
      <w:r w:rsidR="00C42C31" w:rsidRPr="00046FC6">
        <w:rPr>
          <w:rFonts w:ascii="Times New Roman" w:eastAsia="Times New Roman" w:hAnsi="Times New Roman" w:cs="Times New Roman"/>
          <w:sz w:val="24"/>
          <w:lang w:eastAsia="lv-LV"/>
        </w:rPr>
        <w:t>,</w:t>
      </w:r>
      <w:r w:rsidR="00843A49" w:rsidRPr="00046FC6">
        <w:rPr>
          <w:rFonts w:ascii="Times New Roman" w:eastAsia="Times New Roman" w:hAnsi="Times New Roman" w:cs="Times New Roman"/>
          <w:sz w:val="24"/>
          <w:lang w:eastAsia="lv-LV"/>
        </w:rPr>
        <w:t xml:space="preserve"> darbība vai prakse rada ievērojamas bažas par ieguldītāju aizsardzību. Nosakot, vai pastāv ievērojamas bažas par ieguldītāju aizsardzību, Latvijas Banka ir izvērtējusi faktoru</w:t>
      </w:r>
      <w:r w:rsidR="00C42C31" w:rsidRPr="00046FC6">
        <w:rPr>
          <w:rFonts w:ascii="Times New Roman" w:eastAsia="Times New Roman" w:hAnsi="Times New Roman" w:cs="Times New Roman"/>
          <w:sz w:val="24"/>
          <w:lang w:eastAsia="lv-LV"/>
        </w:rPr>
        <w:t>s</w:t>
      </w:r>
      <w:r w:rsidR="00843A49" w:rsidRPr="00046FC6">
        <w:rPr>
          <w:rFonts w:ascii="Times New Roman" w:eastAsia="Times New Roman" w:hAnsi="Times New Roman" w:cs="Times New Roman"/>
          <w:sz w:val="24"/>
          <w:lang w:eastAsia="lv-LV"/>
        </w:rPr>
        <w:t xml:space="preserve"> un kritēriju</w:t>
      </w:r>
      <w:r w:rsidR="00C42C31" w:rsidRPr="00046FC6">
        <w:rPr>
          <w:rFonts w:ascii="Times New Roman" w:eastAsia="Times New Roman" w:hAnsi="Times New Roman" w:cs="Times New Roman"/>
          <w:sz w:val="24"/>
          <w:lang w:eastAsia="lv-LV"/>
        </w:rPr>
        <w:t>s, kuri</w:t>
      </w:r>
      <w:r w:rsidR="00843A49" w:rsidRPr="00046FC6">
        <w:rPr>
          <w:rFonts w:ascii="Times New Roman" w:eastAsia="Times New Roman" w:hAnsi="Times New Roman" w:cs="Times New Roman"/>
          <w:sz w:val="24"/>
          <w:lang w:eastAsia="lv-LV"/>
        </w:rPr>
        <w:t xml:space="preserve"> uzskaitīti Deleģētās regulas Nr.</w:t>
      </w:r>
      <w:r w:rsidRPr="00046FC6">
        <w:rPr>
          <w:rFonts w:ascii="Times New Roman" w:eastAsia="Times New Roman" w:hAnsi="Times New Roman" w:cs="Times New Roman"/>
          <w:sz w:val="24"/>
          <w:lang w:eastAsia="lv-LV"/>
        </w:rPr>
        <w:t> </w:t>
      </w:r>
      <w:r w:rsidR="00843A49" w:rsidRPr="00046FC6">
        <w:rPr>
          <w:rFonts w:ascii="Times New Roman" w:eastAsia="Times New Roman" w:hAnsi="Times New Roman" w:cs="Times New Roman"/>
          <w:sz w:val="24"/>
          <w:lang w:eastAsia="lv-LV"/>
        </w:rPr>
        <w:t>2017/567 21.</w:t>
      </w:r>
      <w:r w:rsidRPr="00046FC6">
        <w:rPr>
          <w:rFonts w:ascii="Times New Roman" w:eastAsia="Times New Roman" w:hAnsi="Times New Roman" w:cs="Times New Roman"/>
          <w:sz w:val="24"/>
          <w:lang w:eastAsia="lv-LV"/>
        </w:rPr>
        <w:t> </w:t>
      </w:r>
      <w:r w:rsidR="00843A49" w:rsidRPr="00046FC6">
        <w:rPr>
          <w:rFonts w:ascii="Times New Roman" w:eastAsia="Times New Roman" w:hAnsi="Times New Roman" w:cs="Times New Roman"/>
          <w:sz w:val="24"/>
          <w:lang w:eastAsia="lv-LV"/>
        </w:rPr>
        <w:t xml:space="preserve">panta </w:t>
      </w:r>
      <w:r w:rsidR="00843A49" w:rsidRPr="00046FC6">
        <w:rPr>
          <w:rFonts w:ascii="Times New Roman" w:eastAsia="Times New Roman" w:hAnsi="Times New Roman" w:cs="Times New Roman"/>
          <w:sz w:val="24"/>
          <w:lang w:eastAsia="lv-LV"/>
        </w:rPr>
        <w:lastRenderedPageBreak/>
        <w:t>2.</w:t>
      </w:r>
      <w:r w:rsidRPr="00046FC6">
        <w:rPr>
          <w:rFonts w:ascii="Times New Roman" w:eastAsia="Times New Roman" w:hAnsi="Times New Roman" w:cs="Times New Roman"/>
          <w:sz w:val="24"/>
          <w:lang w:eastAsia="lv-LV"/>
        </w:rPr>
        <w:t> </w:t>
      </w:r>
      <w:r w:rsidR="00843A49" w:rsidRPr="00046FC6">
        <w:rPr>
          <w:rFonts w:ascii="Times New Roman" w:eastAsia="Times New Roman" w:hAnsi="Times New Roman" w:cs="Times New Roman"/>
          <w:sz w:val="24"/>
          <w:lang w:eastAsia="lv-LV"/>
        </w:rPr>
        <w:t xml:space="preserve">punktā. Ņemot vērā attiecīgos faktorus un kritērijus, Latvijas Banka ir secinājusi, ka pastāv ievērojamas bažas par ieguldītāju aizsardzību </w:t>
      </w:r>
      <w:r w:rsidR="00C42C31" w:rsidRPr="00046FC6">
        <w:rPr>
          <w:rFonts w:ascii="Times New Roman" w:eastAsia="Times New Roman" w:hAnsi="Times New Roman" w:cs="Times New Roman"/>
          <w:sz w:val="24"/>
          <w:lang w:eastAsia="lv-LV"/>
        </w:rPr>
        <w:t xml:space="preserve">tālāk </w:t>
      </w:r>
      <w:r w:rsidR="00843A49" w:rsidRPr="00046FC6">
        <w:rPr>
          <w:rFonts w:ascii="Times New Roman" w:eastAsia="Times New Roman" w:hAnsi="Times New Roman" w:cs="Times New Roman"/>
          <w:sz w:val="24"/>
          <w:lang w:eastAsia="lv-LV"/>
        </w:rPr>
        <w:t>izklāstīto iemeslu dēļ.</w:t>
      </w:r>
    </w:p>
    <w:p w14:paraId="49DE0CEC" w14:textId="7D897C29" w:rsidR="00843A49" w:rsidRPr="00046FC6" w:rsidRDefault="00C42C31"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w:t>
      </w:r>
      <w:r w:rsidR="00843A49" w:rsidRPr="00046FC6">
        <w:rPr>
          <w:rFonts w:ascii="Times New Roman" w:eastAsia="Times New Roman" w:hAnsi="Times New Roman" w:cs="Times New Roman"/>
          <w:bCs/>
          <w:sz w:val="24"/>
          <w:szCs w:val="24"/>
          <w:lang w:eastAsia="lv-LV"/>
        </w:rPr>
        <w:t>īgumi par starpību ir sarežģīti produkti</w:t>
      </w:r>
      <w:r w:rsidR="00843A49" w:rsidRPr="00046FC6">
        <w:rPr>
          <w:rFonts w:ascii="Times New Roman" w:eastAsia="Times New Roman" w:hAnsi="Times New Roman" w:cs="Times New Roman"/>
          <w:bCs/>
          <w:sz w:val="24"/>
          <w:szCs w:val="24"/>
          <w:vertAlign w:val="superscript"/>
          <w:lang w:eastAsia="lv-LV"/>
        </w:rPr>
        <w:footnoteReference w:id="43"/>
      </w:r>
      <w:r w:rsidR="00843A49" w:rsidRPr="00046FC6">
        <w:rPr>
          <w:rFonts w:ascii="Times New Roman" w:eastAsia="Times New Roman" w:hAnsi="Times New Roman" w:cs="Times New Roman"/>
          <w:bCs/>
          <w:sz w:val="24"/>
          <w:szCs w:val="24"/>
          <w:lang w:eastAsia="lv-LV"/>
        </w:rPr>
        <w:t>, k</w:t>
      </w:r>
      <w:r w:rsidRPr="00046FC6">
        <w:rPr>
          <w:rFonts w:ascii="Times New Roman" w:eastAsia="Times New Roman" w:hAnsi="Times New Roman" w:cs="Times New Roman"/>
          <w:bCs/>
          <w:sz w:val="24"/>
          <w:szCs w:val="24"/>
          <w:lang w:eastAsia="lv-LV"/>
        </w:rPr>
        <w:t>uri</w:t>
      </w:r>
      <w:r w:rsidR="00843A49" w:rsidRPr="00046FC6">
        <w:rPr>
          <w:rFonts w:ascii="Times New Roman" w:eastAsia="Times New Roman" w:hAnsi="Times New Roman" w:cs="Times New Roman"/>
          <w:bCs/>
          <w:sz w:val="24"/>
          <w:szCs w:val="24"/>
          <w:lang w:eastAsia="lv-LV"/>
        </w:rPr>
        <w:t xml:space="preserve"> parasti netiek tirgoti tirdzniecības vietā. Cenu noteikšana, tirdzniecības nosacījumi un norēķini šādiem produktiem nav standartizēti, pasliktinot privāto klientu spēju saprast produkta nosacījumus. Turklāt </w:t>
      </w:r>
      <w:bookmarkStart w:id="15" w:name="_Hlk173916528"/>
      <w:r w:rsidR="00843A49" w:rsidRPr="00046FC6">
        <w:rPr>
          <w:rFonts w:ascii="Times New Roman" w:eastAsia="Times New Roman" w:hAnsi="Times New Roman" w:cs="Times New Roman"/>
          <w:sz w:val="24"/>
          <w:szCs w:val="24"/>
          <w:lang w:eastAsia="lv-LV"/>
        </w:rPr>
        <w:t xml:space="preserve">līgumu par starpību </w:t>
      </w:r>
      <w:bookmarkEnd w:id="15"/>
      <w:r w:rsidRPr="00046FC6">
        <w:rPr>
          <w:rFonts w:ascii="Times New Roman" w:eastAsia="Times New Roman" w:hAnsi="Times New Roman" w:cs="Times New Roman"/>
          <w:sz w:val="24"/>
          <w:szCs w:val="24"/>
          <w:lang w:eastAsia="lv-LV"/>
        </w:rPr>
        <w:t xml:space="preserve">pakalpojumu </w:t>
      </w:r>
      <w:r w:rsidR="00843A49" w:rsidRPr="00046FC6">
        <w:rPr>
          <w:rFonts w:ascii="Times New Roman" w:eastAsia="Times New Roman" w:hAnsi="Times New Roman" w:cs="Times New Roman"/>
          <w:bCs/>
          <w:sz w:val="24"/>
          <w:szCs w:val="24"/>
          <w:lang w:eastAsia="lv-LV"/>
        </w:rPr>
        <w:t xml:space="preserve">sniedzēji bieži izvirza prasību, lai klienti atzīst, ka </w:t>
      </w:r>
      <w:r w:rsidR="00843A49" w:rsidRPr="00046FC6">
        <w:rPr>
          <w:rFonts w:ascii="Times New Roman" w:eastAsia="Times New Roman" w:hAnsi="Times New Roman" w:cs="Times New Roman"/>
          <w:sz w:val="24"/>
          <w:szCs w:val="24"/>
          <w:lang w:eastAsia="lv-LV"/>
        </w:rPr>
        <w:t xml:space="preserve">līgumu par starpību </w:t>
      </w:r>
      <w:r w:rsidR="00843A49" w:rsidRPr="00046FC6">
        <w:rPr>
          <w:rFonts w:ascii="Times New Roman" w:eastAsia="Times New Roman" w:hAnsi="Times New Roman" w:cs="Times New Roman"/>
          <w:bCs/>
          <w:sz w:val="24"/>
          <w:szCs w:val="24"/>
          <w:lang w:eastAsia="lv-LV"/>
        </w:rPr>
        <w:t>vērtības noteikšanai izmantotās salīdzināmās cenas var atšķirties no cenas, kas ir pieejama attiecīgajā tirgū, kur tiek tirgoti esošie aktīvi, radot privātajiem klientiem grūtības apskatīt un pārbaudīt datu precizitāti par cenām, kas saņemtas no produktu sniedzēja.</w:t>
      </w:r>
    </w:p>
    <w:p w14:paraId="08D89F7D" w14:textId="5B43FD62"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Izmaksas un maksas, kas piemērojamas līgumu par starpību tirdzniecībai, ir sarežģītas, un privātajiem klientiem tās nav pārredzamas. </w:t>
      </w:r>
      <w:r w:rsidR="00F23CB1" w:rsidRPr="00046FC6">
        <w:rPr>
          <w:rFonts w:ascii="Times New Roman" w:eastAsia="Times New Roman" w:hAnsi="Times New Roman" w:cs="Times New Roman"/>
          <w:bCs/>
          <w:sz w:val="24"/>
          <w:szCs w:val="24"/>
          <w:lang w:eastAsia="lv-LV"/>
        </w:rPr>
        <w:t>Ī</w:t>
      </w:r>
      <w:r w:rsidRPr="00046FC6">
        <w:rPr>
          <w:rFonts w:ascii="Times New Roman" w:eastAsia="Times New Roman" w:hAnsi="Times New Roman" w:cs="Times New Roman"/>
          <w:bCs/>
          <w:sz w:val="24"/>
          <w:szCs w:val="24"/>
          <w:lang w:eastAsia="lv-LV"/>
        </w:rPr>
        <w:t xml:space="preserve">paši privātajiem klientiem parasti ir grūti saprast un novērtēt līgumu par starpību paredzamo ienesīgumu, ņemot vērā arī sarežģītību, ko rada darījumu maksu ietekme uz šādu ienesīgumu. Darījumu maksas līgumos par starpību parasti tiek piemērotas pilnai darījuma nosacītajai vērtībai, un investoriem attiecīgi rodas augstākas darījumu maksas salīdzinājumā ar viņu ieguldītajiem līdzekļiem ar augstāku sviras līmeni. Darījumu maksas parasti tiek atskaitītas no klienta noguldītās sākotnējās maržas, un augsts sviras efekts var radīt situāciju, kad klients līguma par starpību atvēršanas brīdī savā tirdzniecības kontā novēro ievērojamus zaudējumus, ko izraisa augstas darījumu maksas. Tā kā darījumu maksas ar augstāku kredītplecu </w:t>
      </w:r>
      <w:r w:rsidR="00F23CB1" w:rsidRPr="00046FC6">
        <w:rPr>
          <w:rFonts w:ascii="Times New Roman" w:eastAsia="Times New Roman" w:hAnsi="Times New Roman" w:cs="Times New Roman"/>
          <w:bCs/>
          <w:sz w:val="24"/>
          <w:szCs w:val="24"/>
          <w:lang w:eastAsia="lv-LV"/>
        </w:rPr>
        <w:t xml:space="preserve">vairāk </w:t>
      </w:r>
      <w:r w:rsidRPr="00046FC6">
        <w:rPr>
          <w:rFonts w:ascii="Times New Roman" w:eastAsia="Times New Roman" w:hAnsi="Times New Roman" w:cs="Times New Roman"/>
          <w:bCs/>
          <w:sz w:val="24"/>
          <w:szCs w:val="24"/>
          <w:lang w:eastAsia="lv-LV"/>
        </w:rPr>
        <w:t>samazin</w:t>
      </w:r>
      <w:r w:rsidR="00C42C31"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klienta sākotnējo drošības rezervi, klient</w:t>
      </w:r>
      <w:r w:rsidR="00C42C31"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m būs jāpelna vairāk naudas no paša darījuma, lai gūtu peļņu. Tas samazina klienta iespējas gūt peļņu, atskaitot darījumu maksas</w:t>
      </w:r>
      <w:r w:rsidR="00C42C31" w:rsidRPr="00046FC6">
        <w:rPr>
          <w:rFonts w:ascii="Times New Roman" w:eastAsia="Times New Roman" w:hAnsi="Times New Roman" w:cs="Times New Roman"/>
          <w:bCs/>
          <w:sz w:val="24"/>
          <w:szCs w:val="24"/>
          <w:lang w:eastAsia="lv-LV"/>
        </w:rPr>
        <w:t xml:space="preserve"> un</w:t>
      </w:r>
      <w:r w:rsidRPr="00046FC6">
        <w:rPr>
          <w:rFonts w:ascii="Times New Roman" w:eastAsia="Times New Roman" w:hAnsi="Times New Roman" w:cs="Times New Roman"/>
          <w:bCs/>
          <w:sz w:val="24"/>
          <w:szCs w:val="24"/>
          <w:lang w:eastAsia="lv-LV"/>
        </w:rPr>
        <w:t xml:space="preserve"> pakļaujot klientu lielākam zaudējumu riskam.</w:t>
      </w:r>
      <w:r w:rsidRPr="00046FC6">
        <w:rPr>
          <w:rFonts w:ascii="Times New Roman" w:eastAsia="Times New Roman" w:hAnsi="Times New Roman" w:cs="Times New Roman"/>
          <w:bCs/>
          <w:sz w:val="24"/>
          <w:szCs w:val="24"/>
          <w:vertAlign w:val="superscript"/>
          <w:lang w:eastAsia="lv-LV"/>
        </w:rPr>
        <w:footnoteReference w:id="44"/>
      </w:r>
    </w:p>
    <w:p w14:paraId="1FECE892" w14:textId="29CFB181"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Papildus darījuma maksām var tikt piemērotas cenu starpības un dažādas citas finansēšanas izmaksas un maksas</w:t>
      </w:r>
      <w:r w:rsidR="00904853"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45"/>
      </w:r>
      <w:r w:rsidRPr="00046FC6">
        <w:rPr>
          <w:rFonts w:ascii="Times New Roman" w:eastAsia="Times New Roman" w:hAnsi="Times New Roman" w:cs="Times New Roman"/>
          <w:bCs/>
          <w:sz w:val="24"/>
          <w:szCs w:val="24"/>
          <w:lang w:eastAsia="lv-LV"/>
        </w:rPr>
        <w:t xml:space="preserve"> Tās ietver komisijas maksas (vispārēja komisijas maksa vai komisijas maksa par katru tirdzniecības darījumu vai par </w:t>
      </w:r>
      <w:r w:rsidRPr="00046FC6">
        <w:rPr>
          <w:rFonts w:ascii="Times New Roman" w:eastAsia="Times New Roman" w:hAnsi="Times New Roman" w:cs="Times New Roman"/>
          <w:sz w:val="24"/>
          <w:szCs w:val="24"/>
          <w:lang w:eastAsia="lv-LV"/>
        </w:rPr>
        <w:t xml:space="preserve">līgumu par starpību </w:t>
      </w:r>
      <w:r w:rsidRPr="00046FC6">
        <w:rPr>
          <w:rFonts w:ascii="Times New Roman" w:eastAsia="Times New Roman" w:hAnsi="Times New Roman" w:cs="Times New Roman"/>
          <w:bCs/>
          <w:sz w:val="24"/>
          <w:szCs w:val="24"/>
          <w:lang w:eastAsia="lv-LV"/>
        </w:rPr>
        <w:t>konta atvēršanu un slēgšanu)</w:t>
      </w:r>
      <w:r w:rsidR="004F7583"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bCs/>
          <w:sz w:val="24"/>
          <w:szCs w:val="24"/>
          <w:lang w:eastAsia="lv-LV"/>
        </w:rPr>
        <w:t xml:space="preserve">vai konta pārvaldības maksas. Lai </w:t>
      </w:r>
      <w:r w:rsidRPr="00046FC6">
        <w:rPr>
          <w:rFonts w:ascii="Times New Roman" w:eastAsia="Times New Roman" w:hAnsi="Times New Roman" w:cs="Times New Roman"/>
          <w:sz w:val="24"/>
          <w:szCs w:val="24"/>
          <w:lang w:eastAsia="lv-LV"/>
        </w:rPr>
        <w:t xml:space="preserve">līgumu par starpību </w:t>
      </w:r>
      <w:r w:rsidRPr="00046FC6">
        <w:rPr>
          <w:rFonts w:ascii="Times New Roman" w:eastAsia="Times New Roman" w:hAnsi="Times New Roman" w:cs="Times New Roman"/>
          <w:bCs/>
          <w:sz w:val="24"/>
          <w:szCs w:val="24"/>
          <w:lang w:eastAsia="lv-LV"/>
        </w:rPr>
        <w:t xml:space="preserve">saglabātu atvērtu, parasti arī nosaka finansēšanas maksas, piemēram, dienas vai nakts maksas, kurām var tikt pievienots arī uzcenojums. Šo dažādo izmaksu un maksu daudzums un sarežģītība un to ietekme uz klientu tirdzniecības darījumu rezultātiem traucē attiecībā uz </w:t>
      </w:r>
      <w:r w:rsidRPr="00046FC6">
        <w:rPr>
          <w:rFonts w:ascii="Times New Roman" w:eastAsia="Times New Roman" w:hAnsi="Times New Roman" w:cs="Times New Roman"/>
          <w:sz w:val="24"/>
          <w:szCs w:val="24"/>
          <w:lang w:eastAsia="lv-LV"/>
        </w:rPr>
        <w:t xml:space="preserve">līgumu par starpību </w:t>
      </w:r>
      <w:r w:rsidRPr="00046FC6">
        <w:rPr>
          <w:rFonts w:ascii="Times New Roman" w:eastAsia="Times New Roman" w:hAnsi="Times New Roman" w:cs="Times New Roman"/>
          <w:bCs/>
          <w:sz w:val="24"/>
          <w:szCs w:val="24"/>
          <w:lang w:eastAsia="lv-LV"/>
        </w:rPr>
        <w:t>nodrošināt pietiekamu pārredzamību, lai privātajam klientam ļautu pieņemt pārdomātu ieguldījumu lēmumu.</w:t>
      </w:r>
    </w:p>
    <w:p w14:paraId="2BD26485" w14:textId="75A7D758"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Vēl vienu sarežģītību izraisa zaudējumu apturēšanas rīkojumu izmantošana. Šī produkta iezīme var sniegt privātajiem klientiem maldinošu iespaidu, ka zaudējumu apturēšanas rīkojums garantē izpildi par cenu, kādu viņi ir noteikuši (zaudējumu apturēšanas līmenis). Tomēr zaudējumu apturēšanas rīkojumi garantē nevis aizsardzības līmeni, bet </w:t>
      </w:r>
      <w:r w:rsidR="00A87784"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tirgus rīkojuma</w:t>
      </w:r>
      <w:r w:rsidR="00A87784"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iedarbināšanu gadījumā, kad</w:t>
      </w:r>
      <w:r w:rsidR="00A87784"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szCs w:val="24"/>
          <w:lang w:eastAsia="lv-LV"/>
        </w:rPr>
        <w:t xml:space="preserve">līgumu par starpību </w:t>
      </w:r>
      <w:r w:rsidRPr="00046FC6">
        <w:rPr>
          <w:rFonts w:ascii="Times New Roman" w:eastAsia="Times New Roman" w:hAnsi="Times New Roman" w:cs="Times New Roman"/>
          <w:bCs/>
          <w:sz w:val="24"/>
          <w:szCs w:val="24"/>
          <w:lang w:eastAsia="lv-LV"/>
        </w:rPr>
        <w:t>cena sasniedz klienta noteikto cenu. Tādējādi klienta saņemtā cena (izpildes cena) var atšķirties no cenas, kura bija noteikta zaudējumu apturēšanai</w:t>
      </w:r>
      <w:r w:rsidR="00C01B9C"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46"/>
      </w:r>
      <w:r w:rsidRPr="00046FC6">
        <w:rPr>
          <w:rFonts w:ascii="Times New Roman" w:eastAsia="Times New Roman" w:hAnsi="Times New Roman" w:cs="Times New Roman"/>
          <w:bCs/>
          <w:sz w:val="24"/>
          <w:szCs w:val="24"/>
          <w:lang w:eastAsia="lv-LV"/>
        </w:rPr>
        <w:t xml:space="preserve"> Lai gan zaudējumu apturēšana nav unikāla iezīme saistībā ar</w:t>
      </w:r>
      <w:r w:rsidR="00A87784"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szCs w:val="24"/>
          <w:lang w:eastAsia="lv-LV"/>
        </w:rPr>
        <w:t>līgumu par starpību</w:t>
      </w:r>
      <w:r w:rsidRPr="00046FC6">
        <w:rPr>
          <w:rFonts w:ascii="Times New Roman" w:eastAsia="Times New Roman" w:hAnsi="Times New Roman" w:cs="Times New Roman"/>
          <w:bCs/>
          <w:sz w:val="24"/>
          <w:szCs w:val="24"/>
          <w:lang w:eastAsia="lv-LV"/>
        </w:rPr>
        <w:t xml:space="preserve">, sviras finansējuma efekts palielina ieguldītāja drošības rezerves jutību pret esošo aktīvu cenu svārstībām, palielinot pēkšņu zaudējumu risku, un tas nozīmē, ka tādi tradicionālie tirdzniecības </w:t>
      </w:r>
      <w:r w:rsidRPr="00046FC6">
        <w:rPr>
          <w:rFonts w:ascii="Times New Roman" w:eastAsia="Times New Roman" w:hAnsi="Times New Roman" w:cs="Times New Roman"/>
          <w:bCs/>
          <w:sz w:val="24"/>
          <w:szCs w:val="24"/>
          <w:lang w:eastAsia="lv-LV"/>
        </w:rPr>
        <w:lastRenderedPageBreak/>
        <w:t>kontroles mehānismi kā, piemēram, zaudējumu apturēšana nav pietiekami, lai spētu novērst bažas attiecībā uz ieguldītāju aizsardzību.</w:t>
      </w:r>
    </w:p>
    <w:p w14:paraId="28BEDE17" w14:textId="25D3FB77"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Citu būtisku sarežģītību saistībā ar </w:t>
      </w:r>
      <w:r w:rsidRPr="00046FC6">
        <w:rPr>
          <w:rFonts w:ascii="Times New Roman" w:eastAsia="Times New Roman" w:hAnsi="Times New Roman" w:cs="Times New Roman"/>
          <w:sz w:val="24"/>
          <w:szCs w:val="24"/>
          <w:lang w:eastAsia="lv-LV"/>
        </w:rPr>
        <w:t xml:space="preserve">līgumu par starpību </w:t>
      </w:r>
      <w:r w:rsidRPr="00046FC6">
        <w:rPr>
          <w:rFonts w:ascii="Times New Roman" w:eastAsia="Times New Roman" w:hAnsi="Times New Roman" w:cs="Times New Roman"/>
          <w:bCs/>
          <w:sz w:val="24"/>
          <w:szCs w:val="24"/>
          <w:lang w:eastAsia="lv-LV"/>
        </w:rPr>
        <w:t>var izraisīt attiecīgais pamatā esošo aktīvu tirgus. Piemēram, ārvalstu valūt</w:t>
      </w:r>
      <w:r w:rsidR="005471EB"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tirdzniecībā klienti veic spekulācijas, izmantojot vienas valūtas pirkšanu un pārdošanu p</w:t>
      </w:r>
      <w:r w:rsidR="006D43CF" w:rsidRPr="00046FC6">
        <w:rPr>
          <w:rFonts w:ascii="Times New Roman" w:eastAsia="Times New Roman" w:hAnsi="Times New Roman" w:cs="Times New Roman"/>
          <w:bCs/>
          <w:sz w:val="24"/>
          <w:szCs w:val="24"/>
          <w:lang w:eastAsia="lv-LV"/>
        </w:rPr>
        <w:t>ar</w:t>
      </w:r>
      <w:r w:rsidRPr="00046FC6">
        <w:rPr>
          <w:rFonts w:ascii="Times New Roman" w:eastAsia="Times New Roman" w:hAnsi="Times New Roman" w:cs="Times New Roman"/>
          <w:bCs/>
          <w:sz w:val="24"/>
          <w:szCs w:val="24"/>
          <w:lang w:eastAsia="lv-LV"/>
        </w:rPr>
        <w:t xml:space="preserve"> citu valūtu. Ja neviena no šīm valūtām nav tā valūta, kuru klients lietojis </w:t>
      </w:r>
      <w:r w:rsidRPr="00046FC6">
        <w:rPr>
          <w:rFonts w:ascii="Times New Roman" w:eastAsia="Times New Roman" w:hAnsi="Times New Roman" w:cs="Times New Roman"/>
          <w:sz w:val="24"/>
          <w:szCs w:val="24"/>
          <w:lang w:eastAsia="lv-LV"/>
        </w:rPr>
        <w:t xml:space="preserve">līgumu par starpību </w:t>
      </w:r>
      <w:r w:rsidRPr="00046FC6">
        <w:rPr>
          <w:rFonts w:ascii="Times New Roman" w:eastAsia="Times New Roman" w:hAnsi="Times New Roman" w:cs="Times New Roman"/>
          <w:bCs/>
          <w:sz w:val="24"/>
          <w:szCs w:val="24"/>
          <w:lang w:eastAsia="lv-LV"/>
        </w:rPr>
        <w:t>pozīcijas atvēršanai, jebkura peļņa, ko klients saņems, būs atkarīga no klienta veiktajiem pasākumiem nolūkā novērtēt šo tr</w:t>
      </w:r>
      <w:r w:rsidR="00264F44" w:rsidRPr="00046FC6">
        <w:rPr>
          <w:rFonts w:ascii="Times New Roman" w:eastAsia="Times New Roman" w:hAnsi="Times New Roman" w:cs="Times New Roman"/>
          <w:bCs/>
          <w:sz w:val="24"/>
          <w:szCs w:val="24"/>
          <w:lang w:eastAsia="lv-LV"/>
        </w:rPr>
        <w:t>iju</w:t>
      </w:r>
      <w:r w:rsidRPr="00046FC6">
        <w:rPr>
          <w:rFonts w:ascii="Times New Roman" w:eastAsia="Times New Roman" w:hAnsi="Times New Roman" w:cs="Times New Roman"/>
          <w:bCs/>
          <w:sz w:val="24"/>
          <w:szCs w:val="24"/>
          <w:lang w:eastAsia="lv-LV"/>
        </w:rPr>
        <w:t xml:space="preserve"> valūtu svārstības. Tas liecina, ka, lai veiksmīgi risinātu sarežģītos aspektus, kas raksturīgi šādai valūtas tirdzniecībai, ir vajadzīgas augsta līmeņa zināšanas par visām darījumā ie</w:t>
      </w:r>
      <w:r w:rsidR="004370B3" w:rsidRPr="00046FC6">
        <w:rPr>
          <w:rFonts w:ascii="Times New Roman" w:eastAsia="Times New Roman" w:hAnsi="Times New Roman" w:cs="Times New Roman"/>
          <w:bCs/>
          <w:sz w:val="24"/>
          <w:szCs w:val="24"/>
          <w:lang w:eastAsia="lv-LV"/>
        </w:rPr>
        <w:t>saistī</w:t>
      </w:r>
      <w:r w:rsidRPr="00046FC6">
        <w:rPr>
          <w:rFonts w:ascii="Times New Roman" w:eastAsia="Times New Roman" w:hAnsi="Times New Roman" w:cs="Times New Roman"/>
          <w:bCs/>
          <w:sz w:val="24"/>
          <w:szCs w:val="24"/>
          <w:lang w:eastAsia="lv-LV"/>
        </w:rPr>
        <w:t>tajām valūtām. Privātajiem klientiem šādu zināšanu parasti nav.</w:t>
      </w:r>
    </w:p>
    <w:p w14:paraId="600DF341" w14:textId="497E4A62" w:rsidR="00843A49" w:rsidRPr="00046FC6" w:rsidRDefault="005471EB"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sz w:val="24"/>
          <w:szCs w:val="24"/>
          <w:lang w:eastAsia="lv-LV"/>
        </w:rPr>
        <w:t>L</w:t>
      </w:r>
      <w:r w:rsidR="00843A49" w:rsidRPr="00046FC6">
        <w:rPr>
          <w:rFonts w:ascii="Times New Roman" w:eastAsia="Times New Roman" w:hAnsi="Times New Roman" w:cs="Times New Roman"/>
          <w:sz w:val="24"/>
          <w:szCs w:val="24"/>
          <w:lang w:eastAsia="lv-LV"/>
        </w:rPr>
        <w:t>īgum</w:t>
      </w:r>
      <w:r w:rsidR="004370B3" w:rsidRPr="00046FC6">
        <w:rPr>
          <w:rFonts w:ascii="Times New Roman" w:eastAsia="Times New Roman" w:hAnsi="Times New Roman" w:cs="Times New Roman"/>
          <w:sz w:val="24"/>
          <w:szCs w:val="24"/>
          <w:lang w:eastAsia="lv-LV"/>
        </w:rPr>
        <w:t>i</w:t>
      </w:r>
      <w:r w:rsidR="00843A49" w:rsidRPr="00046FC6">
        <w:rPr>
          <w:rFonts w:ascii="Times New Roman" w:eastAsia="Times New Roman" w:hAnsi="Times New Roman" w:cs="Times New Roman"/>
          <w:sz w:val="24"/>
          <w:szCs w:val="24"/>
          <w:lang w:eastAsia="lv-LV"/>
        </w:rPr>
        <w:t xml:space="preserve"> par starpību</w:t>
      </w:r>
      <w:r w:rsidR="00843A49" w:rsidRPr="00046FC6">
        <w:rPr>
          <w:rFonts w:ascii="Times New Roman" w:eastAsia="Times New Roman" w:hAnsi="Times New Roman" w:cs="Times New Roman"/>
          <w:bCs/>
          <w:sz w:val="24"/>
          <w:szCs w:val="24"/>
          <w:lang w:eastAsia="lv-LV"/>
        </w:rPr>
        <w:t>, kur</w:t>
      </w:r>
      <w:r w:rsidRPr="00046FC6">
        <w:rPr>
          <w:rFonts w:ascii="Times New Roman" w:eastAsia="Times New Roman" w:hAnsi="Times New Roman" w:cs="Times New Roman"/>
          <w:bCs/>
          <w:sz w:val="24"/>
          <w:szCs w:val="24"/>
          <w:lang w:eastAsia="lv-LV"/>
        </w:rPr>
        <w:t>u</w:t>
      </w:r>
      <w:r w:rsidR="00843A49" w:rsidRPr="00046FC6">
        <w:rPr>
          <w:rFonts w:ascii="Times New Roman" w:eastAsia="Times New Roman" w:hAnsi="Times New Roman" w:cs="Times New Roman"/>
          <w:bCs/>
          <w:sz w:val="24"/>
          <w:szCs w:val="24"/>
          <w:lang w:eastAsia="lv-LV"/>
        </w:rPr>
        <w:t xml:space="preserve"> pamatā esošie aktīvi ir kriptovalūtas, rada atsevišķas un ievērojamas bažas. Kriptovalūtas ir salīdzinoši nenobriedusi aktīvu kategorija, kas izraisa būtiskus riskus ieguldītājiem. Latvijas Banka</w:t>
      </w:r>
      <w:r w:rsidR="00843A49" w:rsidRPr="00046FC6">
        <w:rPr>
          <w:rFonts w:ascii="Times New Roman" w:eastAsia="Times New Roman" w:hAnsi="Times New Roman" w:cs="Times New Roman"/>
          <w:sz w:val="24"/>
          <w:lang w:eastAsia="lv-LV"/>
        </w:rPr>
        <w:t xml:space="preserve"> ir brīdinājusi patērētājus par riskiem, kas saistīti ar kriptovalūtu iegādi vai ieguldīšanu</w:t>
      </w:r>
      <w:r w:rsidR="004370B3" w:rsidRPr="00046FC6">
        <w:rPr>
          <w:rFonts w:ascii="Times New Roman" w:eastAsia="Times New Roman" w:hAnsi="Times New Roman" w:cs="Times New Roman"/>
          <w:sz w:val="24"/>
          <w:lang w:eastAsia="lv-LV"/>
        </w:rPr>
        <w:t>.</w:t>
      </w:r>
      <w:r w:rsidR="00843A49" w:rsidRPr="00046FC6">
        <w:rPr>
          <w:rFonts w:ascii="Times New Roman" w:eastAsia="Times New Roman" w:hAnsi="Times New Roman" w:cs="Times New Roman"/>
          <w:sz w:val="24"/>
          <w:vertAlign w:val="superscript"/>
          <w:lang w:eastAsia="lv-LV"/>
        </w:rPr>
        <w:footnoteReference w:id="47"/>
      </w:r>
      <w:r w:rsidR="00843A49" w:rsidRPr="00046FC6">
        <w:rPr>
          <w:rFonts w:ascii="Times New Roman" w:eastAsia="Times New Roman" w:hAnsi="Times New Roman" w:cs="Times New Roman"/>
          <w:bCs/>
          <w:sz w:val="24"/>
          <w:szCs w:val="24"/>
          <w:lang w:eastAsia="lv-LV"/>
        </w:rPr>
        <w:t xml:space="preserve"> Attiecībā uz </w:t>
      </w:r>
      <w:r w:rsidR="00843A49" w:rsidRPr="00046FC6">
        <w:rPr>
          <w:rFonts w:ascii="Times New Roman" w:eastAsia="Times New Roman" w:hAnsi="Times New Roman" w:cs="Times New Roman"/>
          <w:sz w:val="24"/>
          <w:szCs w:val="24"/>
          <w:lang w:eastAsia="lv-LV"/>
        </w:rPr>
        <w:t>līgumiem par starpību</w:t>
      </w:r>
      <w:r w:rsidR="00843A49" w:rsidRPr="00046FC6">
        <w:rPr>
          <w:rFonts w:ascii="Times New Roman" w:eastAsia="Times New Roman" w:hAnsi="Times New Roman" w:cs="Times New Roman"/>
          <w:bCs/>
          <w:sz w:val="24"/>
          <w:szCs w:val="24"/>
          <w:lang w:eastAsia="lv-LV"/>
        </w:rPr>
        <w:t>, kuri ietver kriptovalūtas, daudzas no šīm bažām joprojām ir aktuālas. Tas ir tāpēc, ka privātie klienti parasti neizprot riskus, k</w:t>
      </w:r>
      <w:r w:rsidR="004370B3" w:rsidRPr="00046FC6">
        <w:rPr>
          <w:rFonts w:ascii="Times New Roman" w:eastAsia="Times New Roman" w:hAnsi="Times New Roman" w:cs="Times New Roman"/>
          <w:bCs/>
          <w:sz w:val="24"/>
          <w:szCs w:val="24"/>
          <w:lang w:eastAsia="lv-LV"/>
        </w:rPr>
        <w:t>urus</w:t>
      </w:r>
      <w:r w:rsidR="00843A49" w:rsidRPr="00046FC6">
        <w:rPr>
          <w:rFonts w:ascii="Times New Roman" w:eastAsia="Times New Roman" w:hAnsi="Times New Roman" w:cs="Times New Roman"/>
          <w:bCs/>
          <w:sz w:val="24"/>
          <w:szCs w:val="24"/>
          <w:lang w:eastAsia="lv-LV"/>
        </w:rPr>
        <w:t xml:space="preserve"> ietver spekulācijas ārkārtīgi svārstīgu un salīdzinoši nenobriedušu aktīvu kategorijā, ko saasina tirdzniecība ar drošības rezervi, jo šādā tirdzniecībā klientiem jāspēj reaģēt ļoti īsā laika posmā. </w:t>
      </w:r>
      <w:r w:rsidR="00843A49" w:rsidRPr="00046FC6">
        <w:rPr>
          <w:rFonts w:ascii="Times New Roman" w:eastAsia="Times New Roman" w:hAnsi="Times New Roman" w:cs="Times New Roman"/>
          <w:sz w:val="24"/>
          <w:szCs w:val="24"/>
          <w:lang w:eastAsia="lv-LV"/>
        </w:rPr>
        <w:t>Augsts sarežģītības līmenis, zema pārredzamības pakāpe, ietverto risku raksturs un pamatā esošo aktīvu veids ir rādītāji, kas apstiprina, ka attiecībā uz līgumiem par starpību pastāv ievērojamas bažas attiecībā uz ieguldītāju aizsardzību.</w:t>
      </w:r>
      <w:r w:rsidR="00843A49" w:rsidRPr="00046FC6">
        <w:rPr>
          <w:rFonts w:ascii="Times New Roman" w:eastAsia="Times New Roman" w:hAnsi="Times New Roman" w:cs="Times New Roman"/>
          <w:bCs/>
          <w:sz w:val="24"/>
          <w:szCs w:val="24"/>
          <w:vertAlign w:val="superscript"/>
          <w:lang w:eastAsia="lv-LV"/>
        </w:rPr>
        <w:footnoteReference w:id="48"/>
      </w:r>
    </w:p>
    <w:p w14:paraId="5505EC8C" w14:textId="31A14242" w:rsidR="00843A49" w:rsidRPr="00046FC6" w:rsidRDefault="00A70864" w:rsidP="00046FC6">
      <w:pPr>
        <w:tabs>
          <w:tab w:val="decimal" w:pos="426"/>
        </w:tabs>
        <w:spacing w:after="120" w:line="240" w:lineRule="auto"/>
        <w:rPr>
          <w:rFonts w:ascii="Times New Roman" w:eastAsia="Times New Roman" w:hAnsi="Times New Roman" w:cs="Times New Roman"/>
          <w:sz w:val="24"/>
          <w:lang w:eastAsia="lv-LV"/>
        </w:rPr>
      </w:pPr>
      <w:r w:rsidRPr="00046FC6">
        <w:rPr>
          <w:rFonts w:ascii="Times New Roman" w:eastAsia="Times New Roman" w:hAnsi="Times New Roman" w:cs="Times New Roman"/>
          <w:b/>
          <w:sz w:val="24"/>
          <w:szCs w:val="24"/>
          <w:lang w:eastAsia="lv-LV"/>
        </w:rPr>
        <w:t>L</w:t>
      </w:r>
      <w:r w:rsidR="00843A49" w:rsidRPr="00046FC6">
        <w:rPr>
          <w:rFonts w:ascii="Times New Roman" w:eastAsia="Times New Roman" w:hAnsi="Times New Roman" w:cs="Times New Roman"/>
          <w:b/>
          <w:sz w:val="24"/>
          <w:szCs w:val="24"/>
          <w:lang w:eastAsia="lv-LV"/>
        </w:rPr>
        <w:t xml:space="preserve">īgumu par starpību īpašās iezīmes vai komponenti (Deleģētās </w:t>
      </w:r>
      <w:r w:rsidR="00A87784" w:rsidRPr="00046FC6">
        <w:rPr>
          <w:rFonts w:ascii="Times New Roman" w:eastAsia="Times New Roman" w:hAnsi="Times New Roman" w:cs="Times New Roman"/>
          <w:b/>
          <w:sz w:val="24"/>
          <w:szCs w:val="24"/>
          <w:lang w:eastAsia="lv-LV"/>
        </w:rPr>
        <w:t>r</w:t>
      </w:r>
      <w:r w:rsidR="00843A49" w:rsidRPr="00046FC6">
        <w:rPr>
          <w:rFonts w:ascii="Times New Roman" w:eastAsia="Times New Roman" w:hAnsi="Times New Roman" w:cs="Times New Roman"/>
          <w:b/>
          <w:sz w:val="24"/>
          <w:szCs w:val="24"/>
          <w:lang w:eastAsia="lv-LV"/>
        </w:rPr>
        <w:t xml:space="preserve">egulas </w:t>
      </w:r>
      <w:r w:rsidR="00A87784" w:rsidRPr="00046FC6">
        <w:rPr>
          <w:rFonts w:ascii="Times New Roman" w:eastAsia="Times New Roman" w:hAnsi="Times New Roman" w:cs="Times New Roman"/>
          <w:b/>
          <w:sz w:val="24"/>
          <w:szCs w:val="24"/>
          <w:lang w:eastAsia="lv-LV"/>
        </w:rPr>
        <w:t xml:space="preserve">Nr. 2017/567 </w:t>
      </w:r>
      <w:r w:rsidR="00843A49" w:rsidRPr="00046FC6">
        <w:rPr>
          <w:rFonts w:ascii="Times New Roman" w:eastAsia="Times New Roman" w:hAnsi="Times New Roman" w:cs="Times New Roman"/>
          <w:b/>
          <w:sz w:val="24"/>
          <w:szCs w:val="24"/>
          <w:lang w:eastAsia="lv-LV"/>
        </w:rPr>
        <w:t>21.</w:t>
      </w:r>
      <w:r w:rsidR="00A87784" w:rsidRPr="00046FC6">
        <w:rPr>
          <w:rFonts w:ascii="Times New Roman" w:eastAsia="Times New Roman" w:hAnsi="Times New Roman" w:cs="Times New Roman"/>
          <w:b/>
          <w:sz w:val="24"/>
          <w:szCs w:val="24"/>
          <w:lang w:eastAsia="lv-LV"/>
        </w:rPr>
        <w:t> </w:t>
      </w:r>
      <w:r w:rsidR="00843A49" w:rsidRPr="00046FC6">
        <w:rPr>
          <w:rFonts w:ascii="Times New Roman" w:eastAsia="Times New Roman" w:hAnsi="Times New Roman" w:cs="Times New Roman"/>
          <w:b/>
          <w:sz w:val="24"/>
          <w:szCs w:val="24"/>
          <w:lang w:eastAsia="lv-LV"/>
        </w:rPr>
        <w:t>panta 2.</w:t>
      </w:r>
      <w:r w:rsidR="00A87784" w:rsidRPr="00046FC6">
        <w:rPr>
          <w:rFonts w:ascii="Times New Roman" w:eastAsia="Times New Roman" w:hAnsi="Times New Roman" w:cs="Times New Roman"/>
          <w:b/>
          <w:sz w:val="24"/>
          <w:szCs w:val="24"/>
          <w:lang w:eastAsia="lv-LV"/>
        </w:rPr>
        <w:t> </w:t>
      </w:r>
      <w:r w:rsidR="00843A49" w:rsidRPr="00046FC6">
        <w:rPr>
          <w:rFonts w:ascii="Times New Roman" w:eastAsia="Times New Roman" w:hAnsi="Times New Roman" w:cs="Times New Roman"/>
          <w:b/>
          <w:sz w:val="24"/>
          <w:szCs w:val="24"/>
          <w:lang w:eastAsia="lv-LV"/>
        </w:rPr>
        <w:t>punkta e)</w:t>
      </w:r>
      <w:r w:rsidR="00A87784" w:rsidRPr="00046FC6">
        <w:rPr>
          <w:rFonts w:ascii="Times New Roman" w:eastAsia="Times New Roman" w:hAnsi="Times New Roman" w:cs="Times New Roman"/>
          <w:b/>
          <w:sz w:val="24"/>
          <w:szCs w:val="24"/>
          <w:lang w:eastAsia="lv-LV"/>
        </w:rPr>
        <w:t> </w:t>
      </w:r>
      <w:r w:rsidR="00843A49" w:rsidRPr="00046FC6">
        <w:rPr>
          <w:rFonts w:ascii="Times New Roman" w:eastAsia="Times New Roman" w:hAnsi="Times New Roman" w:cs="Times New Roman"/>
          <w:b/>
          <w:sz w:val="24"/>
          <w:szCs w:val="24"/>
          <w:lang w:eastAsia="lv-LV"/>
        </w:rPr>
        <w:t>apakšpunkts)</w:t>
      </w:r>
    </w:p>
    <w:p w14:paraId="330ADAD6" w14:textId="3C0368B8" w:rsidR="00843A49" w:rsidRPr="00046FC6" w:rsidRDefault="00A70864"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w:t>
      </w:r>
      <w:r w:rsidR="00843A49" w:rsidRPr="00046FC6">
        <w:rPr>
          <w:rFonts w:ascii="Times New Roman" w:eastAsia="Times New Roman" w:hAnsi="Times New Roman" w:cs="Times New Roman"/>
          <w:bCs/>
          <w:sz w:val="24"/>
          <w:szCs w:val="24"/>
          <w:lang w:eastAsia="lv-LV"/>
        </w:rPr>
        <w:t xml:space="preserve">īgumu par starpību galvenā iezīme ir to spēja darboties, izmantojot sviru. </w:t>
      </w:r>
      <w:r w:rsidRPr="00046FC6">
        <w:rPr>
          <w:rFonts w:ascii="Times New Roman" w:eastAsia="Times New Roman" w:hAnsi="Times New Roman" w:cs="Times New Roman"/>
          <w:bCs/>
          <w:sz w:val="24"/>
          <w:szCs w:val="24"/>
          <w:lang w:eastAsia="lv-LV"/>
        </w:rPr>
        <w:t>L</w:t>
      </w:r>
      <w:r w:rsidR="00843A49" w:rsidRPr="00046FC6">
        <w:rPr>
          <w:rFonts w:ascii="Times New Roman" w:eastAsia="Times New Roman" w:hAnsi="Times New Roman" w:cs="Times New Roman"/>
          <w:bCs/>
          <w:sz w:val="24"/>
          <w:szCs w:val="24"/>
          <w:lang w:eastAsia="lv-LV"/>
        </w:rPr>
        <w:t xml:space="preserve">ai gan sviras finansējums var palielināt klientu iespējamo peļņu, </w:t>
      </w:r>
      <w:r w:rsidRPr="00046FC6">
        <w:rPr>
          <w:rFonts w:ascii="Times New Roman" w:eastAsia="Times New Roman" w:hAnsi="Times New Roman" w:cs="Times New Roman"/>
          <w:bCs/>
          <w:sz w:val="24"/>
          <w:szCs w:val="24"/>
          <w:lang w:eastAsia="lv-LV"/>
        </w:rPr>
        <w:t xml:space="preserve">kopumā </w:t>
      </w:r>
      <w:r w:rsidR="00843A49" w:rsidRPr="00046FC6">
        <w:rPr>
          <w:rFonts w:ascii="Times New Roman" w:eastAsia="Times New Roman" w:hAnsi="Times New Roman" w:cs="Times New Roman"/>
          <w:bCs/>
          <w:sz w:val="24"/>
          <w:szCs w:val="24"/>
          <w:lang w:eastAsia="lv-LV"/>
        </w:rPr>
        <w:t>t</w:t>
      </w:r>
      <w:r w:rsidRPr="00046FC6">
        <w:rPr>
          <w:rFonts w:ascii="Times New Roman" w:eastAsia="Times New Roman" w:hAnsi="Times New Roman" w:cs="Times New Roman"/>
          <w:bCs/>
          <w:sz w:val="24"/>
          <w:szCs w:val="24"/>
          <w:lang w:eastAsia="lv-LV"/>
        </w:rPr>
        <w:t>as</w:t>
      </w:r>
      <w:r w:rsidR="00843A49" w:rsidRPr="00046FC6">
        <w:rPr>
          <w:rFonts w:ascii="Times New Roman" w:eastAsia="Times New Roman" w:hAnsi="Times New Roman" w:cs="Times New Roman"/>
          <w:bCs/>
          <w:sz w:val="24"/>
          <w:szCs w:val="24"/>
          <w:lang w:eastAsia="lv-LV"/>
        </w:rPr>
        <w:t xml:space="preserve"> var arī palielināt iespējamos zaudējumus. </w:t>
      </w:r>
      <w:r w:rsidRPr="00046FC6">
        <w:rPr>
          <w:rFonts w:ascii="Times New Roman" w:eastAsia="Times New Roman" w:hAnsi="Times New Roman" w:cs="Times New Roman"/>
          <w:bCs/>
          <w:sz w:val="24"/>
          <w:szCs w:val="24"/>
          <w:lang w:eastAsia="lv-LV"/>
        </w:rPr>
        <w:t>D</w:t>
      </w:r>
      <w:r w:rsidR="00843A49" w:rsidRPr="00046FC6">
        <w:rPr>
          <w:rFonts w:ascii="Times New Roman" w:eastAsia="Times New Roman" w:hAnsi="Times New Roman" w:cs="Times New Roman"/>
          <w:sz w:val="24"/>
          <w:lang w:eastAsia="lv-LV"/>
        </w:rPr>
        <w:t>alībvalstu uzraudzības iestādes</w:t>
      </w:r>
      <w:r w:rsidR="00843A49" w:rsidRPr="00046FC6">
        <w:rPr>
          <w:rFonts w:ascii="Times New Roman" w:eastAsia="Times New Roman" w:hAnsi="Times New Roman" w:cs="Times New Roman"/>
          <w:bCs/>
          <w:sz w:val="24"/>
          <w:szCs w:val="24"/>
          <w:lang w:eastAsia="lv-LV"/>
        </w:rPr>
        <w:t xml:space="preserve"> ir atzīmējušas, ka </w:t>
      </w:r>
      <w:r w:rsidR="00264F44" w:rsidRPr="00046FC6">
        <w:rPr>
          <w:rFonts w:ascii="Times New Roman" w:eastAsia="Times New Roman" w:hAnsi="Times New Roman" w:cs="Times New Roman"/>
          <w:bCs/>
          <w:sz w:val="24"/>
          <w:szCs w:val="24"/>
          <w:lang w:eastAsia="lv-LV"/>
        </w:rPr>
        <w:t xml:space="preserve">līdz </w:t>
      </w:r>
      <w:r w:rsidR="00264F44" w:rsidRPr="00046FC6">
        <w:rPr>
          <w:rFonts w:ascii="Times New Roman" w:eastAsia="Times New Roman" w:hAnsi="Times New Roman" w:cs="Times New Roman"/>
          <w:sz w:val="24"/>
          <w:lang w:eastAsia="lv-LV"/>
        </w:rPr>
        <w:t xml:space="preserve">EVTI </w:t>
      </w:r>
      <w:r w:rsidR="00264F44" w:rsidRPr="00046FC6">
        <w:rPr>
          <w:rFonts w:ascii="Times New Roman" w:eastAsia="Times New Roman" w:hAnsi="Times New Roman" w:cs="Times New Roman"/>
          <w:sz w:val="24"/>
          <w:szCs w:val="24"/>
          <w:lang w:eastAsia="lv-LV"/>
        </w:rPr>
        <w:t xml:space="preserve">finanšu līgumu par starpību </w:t>
      </w:r>
      <w:r w:rsidR="00264F44" w:rsidRPr="00046FC6">
        <w:rPr>
          <w:rFonts w:ascii="Times New Roman" w:eastAsia="Times New Roman" w:hAnsi="Times New Roman" w:cs="Times New Roman"/>
          <w:sz w:val="24"/>
          <w:lang w:eastAsia="lv-LV"/>
        </w:rPr>
        <w:t>intervences lēmumu pieņemšanai</w:t>
      </w:r>
      <w:r w:rsidR="00264F44" w:rsidRPr="00046FC6">
        <w:rPr>
          <w:rFonts w:ascii="Times New Roman" w:eastAsia="Times New Roman" w:hAnsi="Times New Roman" w:cs="Times New Roman"/>
          <w:bCs/>
          <w:sz w:val="24"/>
          <w:szCs w:val="24"/>
          <w:lang w:eastAsia="lv-LV"/>
        </w:rPr>
        <w:t xml:space="preserve"> </w:t>
      </w:r>
      <w:r w:rsidR="00843A49" w:rsidRPr="00046FC6">
        <w:rPr>
          <w:rFonts w:ascii="Times New Roman" w:eastAsia="Times New Roman" w:hAnsi="Times New Roman" w:cs="Times New Roman"/>
          <w:bCs/>
          <w:sz w:val="24"/>
          <w:szCs w:val="24"/>
          <w:lang w:eastAsia="lv-LV"/>
        </w:rPr>
        <w:t>sviras finansējuma līmeņi, ko piemēroja līgum</w:t>
      </w:r>
      <w:r w:rsidRPr="00046FC6">
        <w:rPr>
          <w:rFonts w:ascii="Times New Roman" w:eastAsia="Times New Roman" w:hAnsi="Times New Roman" w:cs="Times New Roman"/>
          <w:bCs/>
          <w:sz w:val="24"/>
          <w:szCs w:val="24"/>
          <w:lang w:eastAsia="lv-LV"/>
        </w:rPr>
        <w:t>os</w:t>
      </w:r>
      <w:r w:rsidR="00843A49" w:rsidRPr="00046FC6">
        <w:rPr>
          <w:rFonts w:ascii="Times New Roman" w:eastAsia="Times New Roman" w:hAnsi="Times New Roman" w:cs="Times New Roman"/>
          <w:bCs/>
          <w:sz w:val="24"/>
          <w:szCs w:val="24"/>
          <w:lang w:eastAsia="lv-LV"/>
        </w:rPr>
        <w:t xml:space="preserve"> par starpību visā </w:t>
      </w:r>
      <w:r w:rsidR="00A87784" w:rsidRPr="00046FC6">
        <w:rPr>
          <w:rFonts w:ascii="Times New Roman" w:eastAsia="Times New Roman" w:hAnsi="Times New Roman" w:cs="Times New Roman"/>
          <w:bCs/>
          <w:sz w:val="24"/>
          <w:szCs w:val="24"/>
          <w:lang w:eastAsia="lv-LV"/>
        </w:rPr>
        <w:t xml:space="preserve">Eiropas </w:t>
      </w:r>
      <w:r w:rsidR="00843A49" w:rsidRPr="00046FC6">
        <w:rPr>
          <w:rFonts w:ascii="Times New Roman" w:eastAsia="Times New Roman" w:hAnsi="Times New Roman" w:cs="Times New Roman"/>
          <w:bCs/>
          <w:sz w:val="24"/>
          <w:szCs w:val="24"/>
          <w:lang w:eastAsia="lv-LV"/>
        </w:rPr>
        <w:t>Savienībā, bija robežās no 3:1 līdz 500:1</w:t>
      </w:r>
      <w:r w:rsidR="004370B3" w:rsidRPr="00046FC6">
        <w:rPr>
          <w:rFonts w:ascii="Times New Roman" w:eastAsia="Times New Roman" w:hAnsi="Times New Roman" w:cs="Times New Roman"/>
          <w:bCs/>
          <w:sz w:val="24"/>
          <w:szCs w:val="24"/>
          <w:lang w:eastAsia="lv-LV"/>
        </w:rPr>
        <w:t>.</w:t>
      </w:r>
      <w:r w:rsidR="00843A49" w:rsidRPr="00046FC6">
        <w:rPr>
          <w:rFonts w:ascii="Times New Roman" w:eastAsia="Times New Roman" w:hAnsi="Times New Roman" w:cs="Times New Roman"/>
          <w:sz w:val="24"/>
          <w:vertAlign w:val="superscript"/>
          <w:lang w:eastAsia="lv-LV"/>
        </w:rPr>
        <w:footnoteReference w:id="49"/>
      </w:r>
      <w:r w:rsidR="00843A49" w:rsidRPr="00046FC6">
        <w:rPr>
          <w:rFonts w:ascii="Times New Roman" w:eastAsia="Times New Roman" w:hAnsi="Times New Roman" w:cs="Times New Roman"/>
          <w:bCs/>
          <w:sz w:val="24"/>
          <w:szCs w:val="24"/>
          <w:lang w:eastAsia="lv-LV"/>
        </w:rPr>
        <w:t xml:space="preserve"> Ciktāl tas attiecas uz privātajiem klientiem, lielāku zaudējumu iespējamība sviras finansējuma ietekmē var palielināties vairāk nekā iespējamība gūt lielāku peļņu turpmāk izklāstīto iemeslu dēļ. Svira ietekmē ieguldījuma rezultātus, privātajiem klientiem palielinot darījumu maksu radīto ietekmi.</w:t>
      </w:r>
    </w:p>
    <w:p w14:paraId="5EF38FA6" w14:textId="47C7E031"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color w:val="000000"/>
          <w:sz w:val="24"/>
          <w:lang w:eastAsia="lv-LV"/>
        </w:rPr>
      </w:pPr>
      <w:r w:rsidRPr="00046FC6">
        <w:rPr>
          <w:rFonts w:ascii="Times New Roman" w:eastAsia="Times New Roman" w:hAnsi="Times New Roman" w:cs="Times New Roman"/>
          <w:color w:val="000000"/>
          <w:sz w:val="24"/>
          <w:lang w:eastAsia="lv-LV"/>
        </w:rPr>
        <w:t xml:space="preserve">Cits risks attiecībā uz tādu produktu tirdzniecību, kam ir pārmērīgs aizņemto līdzekļu īpatsvars, ir saistīts ar augsta sviras finansējuma līmeņa un automātiskas drošības rezerves slēgšanas prakses mijiedarbību. Saskaņā ar parasti piemērotiem līguma noteikumiem </w:t>
      </w:r>
      <w:r w:rsidRPr="00046FC6">
        <w:rPr>
          <w:rFonts w:ascii="Times New Roman" w:eastAsia="Times New Roman" w:hAnsi="Times New Roman" w:cs="Times New Roman"/>
          <w:bCs/>
          <w:sz w:val="24"/>
          <w:szCs w:val="24"/>
          <w:lang w:eastAsia="lv-LV"/>
        </w:rPr>
        <w:t xml:space="preserve">līgumu par starpību </w:t>
      </w:r>
      <w:r w:rsidRPr="00046FC6">
        <w:rPr>
          <w:rFonts w:ascii="Times New Roman" w:eastAsia="Times New Roman" w:hAnsi="Times New Roman" w:cs="Times New Roman"/>
          <w:color w:val="000000"/>
          <w:sz w:val="24"/>
          <w:lang w:eastAsia="lv-LV"/>
        </w:rPr>
        <w:t xml:space="preserve">produktu sniedzējiem tiek piešķirta iespēja pēc saviem ieskatiem slēgt klienta kontu, kad klienta neto kapitāla vērtspapīri sasniedz noteiktu procentuālo daļu no sākotnējās drošības rezerves, kas klientam jāmaksā, lai atvērtu </w:t>
      </w:r>
      <w:r w:rsidRPr="00046FC6">
        <w:rPr>
          <w:rFonts w:ascii="Times New Roman" w:eastAsia="Times New Roman" w:hAnsi="Times New Roman" w:cs="Times New Roman"/>
          <w:bCs/>
          <w:sz w:val="24"/>
          <w:szCs w:val="24"/>
          <w:lang w:eastAsia="lv-LV"/>
        </w:rPr>
        <w:t xml:space="preserve">līgumu par starpību </w:t>
      </w:r>
      <w:r w:rsidRPr="00046FC6">
        <w:rPr>
          <w:rFonts w:ascii="Times New Roman" w:eastAsia="Times New Roman" w:hAnsi="Times New Roman" w:cs="Times New Roman"/>
          <w:color w:val="000000"/>
          <w:sz w:val="24"/>
          <w:lang w:eastAsia="lv-LV"/>
        </w:rPr>
        <w:t>pozīciju.</w:t>
      </w:r>
      <w:r w:rsidRPr="00046FC6">
        <w:rPr>
          <w:rFonts w:ascii="Times New Roman" w:eastAsia="Times New Roman" w:hAnsi="Times New Roman" w:cs="Times New Roman"/>
          <w:bCs/>
          <w:sz w:val="24"/>
          <w:szCs w:val="24"/>
          <w:vertAlign w:val="superscript"/>
          <w:lang w:eastAsia="lv-LV"/>
        </w:rPr>
        <w:footnoteReference w:id="50"/>
      </w:r>
    </w:p>
    <w:p w14:paraId="21C3A403" w14:textId="69D53521"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lastRenderedPageBreak/>
        <w:t xml:space="preserve">Mijiedarbība starp augstu sviras finansējuma līmeni un automātisku drošības rezerves slēgšanu ir tāda, ka tiek palielināta iespējamība, ka līgumu par starpību </w:t>
      </w:r>
      <w:r w:rsidR="00A70864" w:rsidRPr="00046FC6">
        <w:rPr>
          <w:rFonts w:ascii="Times New Roman" w:eastAsia="Times New Roman" w:hAnsi="Times New Roman" w:cs="Times New Roman"/>
          <w:bCs/>
          <w:sz w:val="24"/>
          <w:szCs w:val="24"/>
          <w:lang w:eastAsia="lv-LV"/>
        </w:rPr>
        <w:t xml:space="preserve">pakalpojuma </w:t>
      </w:r>
      <w:r w:rsidRPr="00046FC6">
        <w:rPr>
          <w:rFonts w:ascii="Times New Roman" w:eastAsia="Times New Roman" w:hAnsi="Times New Roman" w:cs="Times New Roman"/>
          <w:bCs/>
          <w:sz w:val="24"/>
          <w:szCs w:val="24"/>
          <w:lang w:eastAsia="lv-LV"/>
        </w:rPr>
        <w:t>sniedzējs īsā laika posmā automātiski slēgs klienta pozīciju vai klientam būs jānosaka papildu drošības rezerves iemaksa cerībā uz zaudētās pozīcijas atgūšanu. Augsts sviras finansējuma līmenis palielina iespējamību, ka klientam ir nepietiekama drošības rezerve, lai atbalstītu savus atvērtos līgumu</w:t>
      </w:r>
      <w:r w:rsidR="000E6C0B"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par starpību, padarot klienta pozīcij</w:t>
      </w:r>
      <w:r w:rsidR="000E6C0B"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xml:space="preserve"> jutīg</w:t>
      </w:r>
      <w:r w:rsidR="000E6C0B"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xml:space="preserve"> pret pamatā esošo aktīvu mazām cenu svārstībām un radot klientam nelabvēlīgāku situāciju.</w:t>
      </w:r>
    </w:p>
    <w:p w14:paraId="30F261B6" w14:textId="748D8E4C"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Ir novērots,</w:t>
      </w:r>
      <w:r w:rsidR="00264F44" w:rsidRPr="00046FC6">
        <w:rPr>
          <w:rFonts w:ascii="Times New Roman" w:eastAsia="Times New Roman" w:hAnsi="Times New Roman" w:cs="Times New Roman"/>
          <w:bCs/>
          <w:sz w:val="24"/>
          <w:szCs w:val="24"/>
          <w:lang w:eastAsia="lv-LV"/>
        </w:rPr>
        <w:t xml:space="preserve"> ka</w:t>
      </w:r>
      <w:r w:rsidRPr="00046FC6">
        <w:rPr>
          <w:rFonts w:ascii="Times New Roman" w:eastAsia="Times New Roman" w:hAnsi="Times New Roman" w:cs="Times New Roman"/>
          <w:bCs/>
          <w:sz w:val="24"/>
          <w:szCs w:val="24"/>
          <w:lang w:eastAsia="lv-LV"/>
        </w:rPr>
        <w:t xml:space="preserve"> tirgus praksē līgumu par starpību </w:t>
      </w:r>
      <w:r w:rsidR="00C84876"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 xml:space="preserve">sniedzēji drošības rezerves slēgšanu, </w:t>
      </w:r>
      <w:r w:rsidR="00264F44" w:rsidRPr="00046FC6">
        <w:rPr>
          <w:rFonts w:ascii="Times New Roman" w:eastAsia="Times New Roman" w:hAnsi="Times New Roman" w:cs="Times New Roman"/>
          <w:bCs/>
          <w:sz w:val="24"/>
          <w:szCs w:val="24"/>
          <w:lang w:eastAsia="lv-LV"/>
        </w:rPr>
        <w:t>iespējams</w:t>
      </w:r>
      <w:r w:rsidRPr="00046FC6">
        <w:rPr>
          <w:rFonts w:ascii="Times New Roman" w:eastAsia="Times New Roman" w:hAnsi="Times New Roman" w:cs="Times New Roman"/>
          <w:bCs/>
          <w:sz w:val="24"/>
          <w:szCs w:val="24"/>
          <w:lang w:eastAsia="lv-LV"/>
        </w:rPr>
        <w:t>, ir ieviesuši galvenokārt tādēļ, lai ļautu tiem vieglāk pārvaldīt klienta riska darījumus un produkta sniedzēja kredītrisku, slēdzot klienta pozīciju</w:t>
      </w:r>
      <w:r w:rsidR="00264F44"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pirms klientam pietrūkst līdzekļu sav</w:t>
      </w:r>
      <w:r w:rsidR="004E3287"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pašreizēj</w:t>
      </w:r>
      <w:r w:rsidR="004E3287" w:rsidRPr="00046FC6">
        <w:rPr>
          <w:rFonts w:ascii="Times New Roman" w:eastAsia="Times New Roman" w:hAnsi="Times New Roman" w:cs="Times New Roman"/>
          <w:bCs/>
          <w:sz w:val="24"/>
          <w:szCs w:val="24"/>
          <w:lang w:eastAsia="lv-LV"/>
        </w:rPr>
        <w:t>ā</w:t>
      </w:r>
      <w:r w:rsidRPr="00046FC6">
        <w:rPr>
          <w:rFonts w:ascii="Times New Roman" w:eastAsia="Times New Roman" w:hAnsi="Times New Roman" w:cs="Times New Roman"/>
          <w:bCs/>
          <w:sz w:val="24"/>
          <w:szCs w:val="24"/>
          <w:lang w:eastAsia="lv-LV"/>
        </w:rPr>
        <w:t xml:space="preserve"> riska darījum</w:t>
      </w:r>
      <w:r w:rsidR="004E3287" w:rsidRPr="00046FC6">
        <w:rPr>
          <w:rFonts w:ascii="Times New Roman" w:eastAsia="Times New Roman" w:hAnsi="Times New Roman" w:cs="Times New Roman"/>
          <w:bCs/>
          <w:sz w:val="24"/>
          <w:szCs w:val="24"/>
          <w:lang w:eastAsia="lv-LV"/>
        </w:rPr>
        <w:t>a izmaksu s</w:t>
      </w:r>
      <w:r w:rsidR="004370B3" w:rsidRPr="00046FC6">
        <w:rPr>
          <w:rFonts w:ascii="Times New Roman" w:eastAsia="Times New Roman" w:hAnsi="Times New Roman" w:cs="Times New Roman"/>
          <w:bCs/>
          <w:sz w:val="24"/>
          <w:szCs w:val="24"/>
          <w:lang w:eastAsia="lv-LV"/>
        </w:rPr>
        <w:t>e</w:t>
      </w:r>
      <w:r w:rsidR="004E3287" w:rsidRPr="00046FC6">
        <w:rPr>
          <w:rFonts w:ascii="Times New Roman" w:eastAsia="Times New Roman" w:hAnsi="Times New Roman" w:cs="Times New Roman"/>
          <w:bCs/>
          <w:sz w:val="24"/>
          <w:szCs w:val="24"/>
          <w:lang w:eastAsia="lv-LV"/>
        </w:rPr>
        <w:t>gšanai</w:t>
      </w:r>
      <w:r w:rsidRPr="00046FC6">
        <w:rPr>
          <w:rFonts w:ascii="Times New Roman" w:eastAsia="Times New Roman" w:hAnsi="Times New Roman" w:cs="Times New Roman"/>
          <w:bCs/>
          <w:sz w:val="24"/>
          <w:szCs w:val="24"/>
          <w:lang w:eastAsia="lv-LV"/>
        </w:rPr>
        <w:t>. Automātiskā drošības rezerves slēgšana nodrošina arī zināmu aizsardzības pakāpi klientiem, jo tā samazina, bet nelikvidē risku, ka klients (īpaši ar augstu sviras finansējuma līmeni) var zaudēt visu sākotnējo drošības rezervi vai vēl vairāk.</w:t>
      </w:r>
    </w:p>
    <w:p w14:paraId="2B080329" w14:textId="0CDC90C5"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Dažas </w:t>
      </w:r>
      <w:r w:rsidRPr="00046FC6">
        <w:rPr>
          <w:rFonts w:ascii="Times New Roman" w:eastAsia="Times New Roman" w:hAnsi="Times New Roman" w:cs="Times New Roman"/>
          <w:bCs/>
          <w:sz w:val="24"/>
          <w:lang w:eastAsia="lv-LV"/>
        </w:rPr>
        <w:t>dalībvalstu uzraudzības iestādes</w:t>
      </w:r>
      <w:r w:rsidRPr="00046FC6">
        <w:rPr>
          <w:rFonts w:ascii="Times New Roman" w:eastAsia="Times New Roman" w:hAnsi="Times New Roman" w:cs="Times New Roman"/>
          <w:bCs/>
          <w:sz w:val="24"/>
          <w:szCs w:val="24"/>
          <w:lang w:eastAsia="lv-LV"/>
        </w:rPr>
        <w:t xml:space="preserve"> ziņoja EV</w:t>
      </w:r>
      <w:r w:rsidR="00A87784" w:rsidRPr="00046FC6">
        <w:rPr>
          <w:rFonts w:ascii="Times New Roman" w:eastAsia="Times New Roman" w:hAnsi="Times New Roman" w:cs="Times New Roman"/>
          <w:bCs/>
          <w:sz w:val="24"/>
          <w:szCs w:val="24"/>
          <w:lang w:eastAsia="lv-LV"/>
        </w:rPr>
        <w:t>TI</w:t>
      </w:r>
      <w:r w:rsidRPr="00046FC6">
        <w:rPr>
          <w:rFonts w:ascii="Times New Roman" w:eastAsia="Times New Roman" w:hAnsi="Times New Roman" w:cs="Times New Roman"/>
          <w:bCs/>
          <w:sz w:val="24"/>
          <w:szCs w:val="24"/>
          <w:lang w:eastAsia="lv-LV"/>
        </w:rPr>
        <w:t xml:space="preserve">, ka līgumu par starpību </w:t>
      </w:r>
      <w:r w:rsidR="00C84876"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sniedzējiem ir atšķirīgi līmeņi, kuros tie piemēro automātisko drošības rezerves slēgšanu</w:t>
      </w:r>
      <w:r w:rsidR="004370B3"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51"/>
      </w:r>
      <w:r w:rsidRPr="00046FC6">
        <w:rPr>
          <w:rFonts w:ascii="Times New Roman" w:eastAsia="Times New Roman" w:hAnsi="Times New Roman" w:cs="Times New Roman"/>
          <w:bCs/>
          <w:sz w:val="24"/>
          <w:szCs w:val="24"/>
          <w:lang w:eastAsia="lv-LV"/>
        </w:rPr>
        <w:t xml:space="preserve"> </w:t>
      </w:r>
      <w:r w:rsidR="00C84876" w:rsidRPr="00046FC6">
        <w:rPr>
          <w:rFonts w:ascii="Times New Roman" w:eastAsia="Times New Roman" w:hAnsi="Times New Roman" w:cs="Times New Roman"/>
          <w:bCs/>
          <w:sz w:val="24"/>
          <w:szCs w:val="24"/>
          <w:lang w:eastAsia="lv-LV"/>
        </w:rPr>
        <w:t>L</w:t>
      </w:r>
      <w:r w:rsidRPr="00046FC6">
        <w:rPr>
          <w:rFonts w:ascii="Times New Roman" w:eastAsia="Times New Roman" w:hAnsi="Times New Roman" w:cs="Times New Roman"/>
          <w:bCs/>
          <w:sz w:val="24"/>
          <w:szCs w:val="24"/>
          <w:lang w:eastAsia="lv-LV"/>
        </w:rPr>
        <w:t xml:space="preserve">īgumu par starpību </w:t>
      </w:r>
      <w:r w:rsidR="00C84876"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 xml:space="preserve">sniedzēji attiecībā uz klientiem, kuri parasti veic tirdzniecību, izmantojot zemākas vērtības </w:t>
      </w:r>
      <w:r w:rsidR="00426B6A" w:rsidRPr="00046FC6">
        <w:rPr>
          <w:rFonts w:ascii="Times New Roman" w:eastAsia="Times New Roman" w:hAnsi="Times New Roman" w:cs="Times New Roman"/>
          <w:bCs/>
          <w:sz w:val="24"/>
          <w:szCs w:val="24"/>
          <w:lang w:eastAsia="lv-LV"/>
        </w:rPr>
        <w:t>rīkojumus</w:t>
      </w:r>
      <w:r w:rsidRPr="00046FC6">
        <w:rPr>
          <w:rFonts w:ascii="Times New Roman" w:eastAsia="Times New Roman" w:hAnsi="Times New Roman" w:cs="Times New Roman"/>
          <w:bCs/>
          <w:sz w:val="24"/>
          <w:szCs w:val="24"/>
          <w:lang w:eastAsia="lv-LV"/>
        </w:rPr>
        <w:t xml:space="preserve">, </w:t>
      </w:r>
      <w:r w:rsidR="00E356C3" w:rsidRPr="00046FC6">
        <w:rPr>
          <w:rFonts w:ascii="Times New Roman" w:eastAsia="Times New Roman" w:hAnsi="Times New Roman" w:cs="Times New Roman"/>
          <w:bCs/>
          <w:sz w:val="24"/>
          <w:szCs w:val="24"/>
          <w:lang w:eastAsia="lv-LV"/>
        </w:rPr>
        <w:t xml:space="preserve">kad šie pakalpojumu sniedzēji </w:t>
      </w:r>
      <w:r w:rsidRPr="00046FC6">
        <w:rPr>
          <w:rFonts w:ascii="Times New Roman" w:eastAsia="Times New Roman" w:hAnsi="Times New Roman" w:cs="Times New Roman"/>
          <w:bCs/>
          <w:sz w:val="24"/>
          <w:szCs w:val="24"/>
          <w:lang w:eastAsia="lv-LV"/>
        </w:rPr>
        <w:t>klientu veiktajā tirdzniecībā darbojas kā tiešie darījumu partneri, iepriekš ir noteikuši drošības rezerves slēgšanas noteikumu, kas paredz līmeni 0</w:t>
      </w:r>
      <w:r w:rsidR="004E3287"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30</w:t>
      </w:r>
      <w:r w:rsidR="00A6115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apmērā no sākotnējās nepieciešamās drošības rezerves. Ļaujot klienta līdzekļu apjoma kritumam pietuvoties nullei, palielin</w:t>
      </w:r>
      <w:r w:rsidR="00C84876" w:rsidRPr="00046FC6">
        <w:rPr>
          <w:rFonts w:ascii="Times New Roman" w:eastAsia="Times New Roman" w:hAnsi="Times New Roman" w:cs="Times New Roman"/>
          <w:bCs/>
          <w:sz w:val="24"/>
          <w:szCs w:val="24"/>
          <w:lang w:eastAsia="lv-LV"/>
        </w:rPr>
        <w:t>ās</w:t>
      </w:r>
      <w:r w:rsidRPr="00046FC6">
        <w:rPr>
          <w:rFonts w:ascii="Times New Roman" w:eastAsia="Times New Roman" w:hAnsi="Times New Roman" w:cs="Times New Roman"/>
          <w:bCs/>
          <w:sz w:val="24"/>
          <w:szCs w:val="24"/>
          <w:lang w:eastAsia="lv-LV"/>
        </w:rPr>
        <w:t xml:space="preserve"> klienta risk</w:t>
      </w:r>
      <w:r w:rsidR="00C84876"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zaudēt vairāk naudas, nekā </w:t>
      </w:r>
      <w:r w:rsidR="00426B6A" w:rsidRPr="00046FC6">
        <w:rPr>
          <w:rFonts w:ascii="Times New Roman" w:eastAsia="Times New Roman" w:hAnsi="Times New Roman" w:cs="Times New Roman"/>
          <w:bCs/>
          <w:sz w:val="24"/>
          <w:szCs w:val="24"/>
          <w:lang w:eastAsia="lv-LV"/>
        </w:rPr>
        <w:t xml:space="preserve">klients </w:t>
      </w:r>
      <w:r w:rsidRPr="00046FC6">
        <w:rPr>
          <w:rFonts w:ascii="Times New Roman" w:eastAsia="Times New Roman" w:hAnsi="Times New Roman" w:cs="Times New Roman"/>
          <w:bCs/>
          <w:sz w:val="24"/>
          <w:szCs w:val="24"/>
          <w:lang w:eastAsia="lv-LV"/>
        </w:rPr>
        <w:t>bija ieguldījis.</w:t>
      </w:r>
    </w:p>
    <w:p w14:paraId="33615DAD" w14:textId="63C95525"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Ar sviras finansējuma izmantošanu saistītais risks ir tāds, ka klienti var zaudēt vairāk naudas, nekā viņi ir ieguldījuši. Tas ir galvenais risks, ko privātie klienti varētu nesaprast, pat neskatoties uz rakstiskiem brīdinājumiem. Klienta noteiktā drošības rezerve ir kā nodrošinājums, lai atbalstītu klienta pozīciju. Ja pamatā esošo aktīvu cena, piemēram, mainās pret klienta pozīciju, pārsniedzot sākotnēji noteikto drošības rezervi, klients var būt atbildīgs par zaudējumiem, kas pārsniedz viņa līgumu par starpību tirdzniecības konta līdzekļus, pat pēc klienta visu citu līgumu par starpību pozīciju slēgšanas. Dažas </w:t>
      </w:r>
      <w:r w:rsidRPr="00046FC6">
        <w:rPr>
          <w:rFonts w:ascii="Times New Roman" w:eastAsia="Times New Roman" w:hAnsi="Times New Roman" w:cs="Times New Roman"/>
          <w:bCs/>
          <w:sz w:val="24"/>
          <w:lang w:eastAsia="lv-LV"/>
        </w:rPr>
        <w:t>dalībvalstu uzraudzības iestādes</w:t>
      </w:r>
      <w:r w:rsidRPr="00046FC6">
        <w:rPr>
          <w:rFonts w:ascii="Times New Roman" w:eastAsia="Times New Roman" w:hAnsi="Times New Roman" w:cs="Times New Roman"/>
          <w:bCs/>
          <w:sz w:val="24"/>
          <w:szCs w:val="24"/>
          <w:lang w:eastAsia="lv-LV"/>
        </w:rPr>
        <w:t xml:space="preserve"> ir ziņojušas EV</w:t>
      </w:r>
      <w:r w:rsidR="00A87784" w:rsidRPr="00046FC6">
        <w:rPr>
          <w:rFonts w:ascii="Times New Roman" w:eastAsia="Times New Roman" w:hAnsi="Times New Roman" w:cs="Times New Roman"/>
          <w:bCs/>
          <w:sz w:val="24"/>
          <w:szCs w:val="24"/>
          <w:lang w:eastAsia="lv-LV"/>
        </w:rPr>
        <w:t>TI</w:t>
      </w:r>
      <w:r w:rsidRPr="00046FC6">
        <w:rPr>
          <w:rFonts w:ascii="Times New Roman" w:eastAsia="Times New Roman" w:hAnsi="Times New Roman" w:cs="Times New Roman"/>
          <w:bCs/>
          <w:sz w:val="24"/>
          <w:szCs w:val="24"/>
          <w:lang w:eastAsia="lv-LV"/>
        </w:rPr>
        <w:t>, ka vairāki privātie klienti ir zaudējuši ievērojamas naudas summas Šveices franka piesaistes atcelšanas laikā 2015.</w:t>
      </w:r>
      <w:r w:rsidR="00A87784"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gada janvārī. </w:t>
      </w:r>
    </w:p>
    <w:p w14:paraId="553DAA4C" w14:textId="33518DB9"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Tirdzniecība, piemērojot augstu sviras finansējuma līmeni, palielina cenu pārrāvumu radīto ietekmi ievērojamu tirgus svārstību laikā. Cenu pārrāvumi rodas tad, kad notiek pēkšņas pamatā esošo aktīvu cenas izmaiņas. Attiecībā uz līgumu par starpību cenu pārrāvumi nav unikāla iezīme, bet ar šādiem notikumiem saistītos riskus saasina augsts izmantotā sviras finansējuma līmenis. Ja notiek cenu pārrāvums, klients, kura ieguldījumi zaudē vērtību, iespējams, nevar slēgt atvērt</w:t>
      </w:r>
      <w:r w:rsidR="00C84876"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līgumu par starpību par vēlamo cenu, un tas var radīt būtiskus klienta zaudējumus, </w:t>
      </w:r>
      <w:r w:rsidR="006D43CF" w:rsidRPr="00046FC6">
        <w:rPr>
          <w:rFonts w:ascii="Times New Roman" w:eastAsia="Times New Roman" w:hAnsi="Times New Roman" w:cs="Times New Roman"/>
          <w:bCs/>
          <w:sz w:val="24"/>
          <w:szCs w:val="24"/>
          <w:lang w:eastAsia="lv-LV"/>
        </w:rPr>
        <w:t xml:space="preserve">veicot </w:t>
      </w:r>
      <w:r w:rsidRPr="00046FC6">
        <w:rPr>
          <w:rFonts w:ascii="Times New Roman" w:eastAsia="Times New Roman" w:hAnsi="Times New Roman" w:cs="Times New Roman"/>
          <w:bCs/>
          <w:sz w:val="24"/>
          <w:szCs w:val="24"/>
          <w:lang w:eastAsia="lv-LV"/>
        </w:rPr>
        <w:t>tir</w:t>
      </w:r>
      <w:r w:rsidR="006D43CF" w:rsidRPr="00046FC6">
        <w:rPr>
          <w:rFonts w:ascii="Times New Roman" w:eastAsia="Times New Roman" w:hAnsi="Times New Roman" w:cs="Times New Roman"/>
          <w:bCs/>
          <w:sz w:val="24"/>
          <w:szCs w:val="24"/>
          <w:lang w:eastAsia="lv-LV"/>
        </w:rPr>
        <w:t>dzniecību</w:t>
      </w:r>
      <w:r w:rsidRPr="00046FC6">
        <w:rPr>
          <w:rFonts w:ascii="Times New Roman" w:eastAsia="Times New Roman" w:hAnsi="Times New Roman" w:cs="Times New Roman"/>
          <w:bCs/>
          <w:sz w:val="24"/>
          <w:szCs w:val="24"/>
          <w:lang w:eastAsia="lv-LV"/>
        </w:rPr>
        <w:t xml:space="preserve"> ar augstu sviras finansējuma līmeni. Piemēram, Šveices franka satricinājuma gadījumā 2015.</w:t>
      </w:r>
      <w:r w:rsidR="00A87784"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gadā tas privātajiem klientiem radīj</w:t>
      </w:r>
      <w:r w:rsidR="004370B3"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zaudējumus, kas ievērojami pārsniedz</w:t>
      </w:r>
      <w:r w:rsidR="004370B3"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sākotnēji ieguldīto summu.</w:t>
      </w:r>
    </w:p>
    <w:p w14:paraId="5A02C11D" w14:textId="5AB6C514"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Pastāvīgā dubultās cenas noteikšana ir papildu elements, ko var piedāvāt līgumu </w:t>
      </w:r>
      <w:r w:rsidR="00C84876" w:rsidRPr="00046FC6">
        <w:rPr>
          <w:rFonts w:ascii="Times New Roman" w:eastAsia="Times New Roman" w:hAnsi="Times New Roman" w:cs="Times New Roman"/>
          <w:bCs/>
          <w:sz w:val="24"/>
          <w:szCs w:val="24"/>
          <w:lang w:eastAsia="lv-LV"/>
        </w:rPr>
        <w:t xml:space="preserve">par starpību </w:t>
      </w:r>
      <w:r w:rsidRPr="00046FC6">
        <w:rPr>
          <w:rFonts w:ascii="Times New Roman" w:eastAsia="Times New Roman" w:hAnsi="Times New Roman" w:cs="Times New Roman"/>
          <w:bCs/>
          <w:sz w:val="24"/>
          <w:szCs w:val="24"/>
          <w:lang w:eastAsia="lv-LV"/>
        </w:rPr>
        <w:t xml:space="preserve">pārdevēji. Šis elements </w:t>
      </w:r>
      <w:r w:rsidR="00C84876" w:rsidRPr="00046FC6">
        <w:rPr>
          <w:rFonts w:ascii="Times New Roman" w:eastAsia="Times New Roman" w:hAnsi="Times New Roman" w:cs="Times New Roman"/>
          <w:bCs/>
          <w:sz w:val="24"/>
          <w:szCs w:val="24"/>
          <w:lang w:eastAsia="lv-LV"/>
        </w:rPr>
        <w:t>padara situāciju vēl sarežģītāku</w:t>
      </w:r>
      <w:r w:rsidRPr="00046FC6">
        <w:rPr>
          <w:rFonts w:ascii="Times New Roman" w:eastAsia="Times New Roman" w:hAnsi="Times New Roman" w:cs="Times New Roman"/>
          <w:bCs/>
          <w:sz w:val="24"/>
          <w:szCs w:val="24"/>
          <w:lang w:eastAsia="lv-LV"/>
        </w:rPr>
        <w:t>, jo privātajiem klientiem ir grūti pienācīgi novērtēt šos produktus vai gūt pozitīvu peļņu no ieguldījuma. Tas skaidrojams ar apstākli, ka privātajiem klientiem būtu pastāvīgi jāuzrauga cena un jāprognozē paredzamais rezultāts. Turklāt izstāšanās no operācijas un jaunas operācijas sākšana klientam rada papildu izmaksas, jo piedāvājuma cenai tiek piemērota starpība vai tiek iekasēta maksa par darījumu.</w:t>
      </w:r>
      <w:r w:rsidRPr="00046FC6">
        <w:rPr>
          <w:rFonts w:ascii="Times New Roman" w:eastAsia="Times New Roman" w:hAnsi="Times New Roman" w:cs="Times New Roman"/>
          <w:bCs/>
          <w:sz w:val="24"/>
          <w:szCs w:val="24"/>
          <w:vertAlign w:val="superscript"/>
          <w:lang w:eastAsia="lv-LV"/>
        </w:rPr>
        <w:footnoteReference w:id="52"/>
      </w:r>
    </w:p>
    <w:p w14:paraId="3549BB0F" w14:textId="7ABB7B40" w:rsidR="00843A49" w:rsidRPr="00046FC6" w:rsidRDefault="00843A49" w:rsidP="00A61159">
      <w:pPr>
        <w:tabs>
          <w:tab w:val="decimal" w:pos="426"/>
        </w:tabs>
        <w:spacing w:after="120" w:line="240" w:lineRule="auto"/>
        <w:rPr>
          <w:rFonts w:ascii="Times New Roman" w:eastAsia="Times New Roman" w:hAnsi="Times New Roman" w:cs="Times New Roman"/>
          <w:sz w:val="24"/>
          <w:lang w:eastAsia="lv-LV"/>
        </w:rPr>
      </w:pPr>
      <w:r w:rsidRPr="00046FC6">
        <w:rPr>
          <w:rFonts w:ascii="Times New Roman" w:eastAsia="Times New Roman" w:hAnsi="Times New Roman" w:cs="Times New Roman"/>
          <w:b/>
          <w:sz w:val="24"/>
          <w:szCs w:val="24"/>
          <w:lang w:eastAsia="lv-LV"/>
        </w:rPr>
        <w:lastRenderedPageBreak/>
        <w:t xml:space="preserve">Iespējamo </w:t>
      </w:r>
      <w:r w:rsidR="00665399" w:rsidRPr="00046FC6">
        <w:rPr>
          <w:rFonts w:ascii="Times New Roman" w:eastAsia="Times New Roman" w:hAnsi="Times New Roman" w:cs="Times New Roman"/>
          <w:b/>
          <w:sz w:val="24"/>
          <w:szCs w:val="24"/>
          <w:lang w:eastAsia="lv-LV"/>
        </w:rPr>
        <w:t xml:space="preserve">nelabvēlīgo </w:t>
      </w:r>
      <w:r w:rsidRPr="00046FC6">
        <w:rPr>
          <w:rFonts w:ascii="Times New Roman" w:eastAsia="Times New Roman" w:hAnsi="Times New Roman" w:cs="Times New Roman"/>
          <w:b/>
          <w:sz w:val="24"/>
          <w:szCs w:val="24"/>
          <w:lang w:eastAsia="lv-LV"/>
        </w:rPr>
        <w:t xml:space="preserve">seku apmērs un </w:t>
      </w:r>
      <w:r w:rsidR="00665399" w:rsidRPr="00046FC6">
        <w:rPr>
          <w:rFonts w:ascii="Times New Roman" w:eastAsia="Times New Roman" w:hAnsi="Times New Roman" w:cs="Times New Roman"/>
          <w:b/>
          <w:sz w:val="24"/>
          <w:szCs w:val="24"/>
          <w:lang w:eastAsia="lv-LV"/>
        </w:rPr>
        <w:t>neatbilstības</w:t>
      </w:r>
      <w:r w:rsidRPr="00046FC6">
        <w:rPr>
          <w:rFonts w:ascii="Times New Roman" w:eastAsia="Times New Roman" w:hAnsi="Times New Roman" w:cs="Times New Roman"/>
          <w:b/>
          <w:sz w:val="24"/>
          <w:szCs w:val="24"/>
          <w:lang w:eastAsia="lv-LV"/>
        </w:rPr>
        <w:t xml:space="preserve"> starp </w:t>
      </w:r>
      <w:r w:rsidR="00665399" w:rsidRPr="00046FC6">
        <w:rPr>
          <w:rFonts w:ascii="Times New Roman" w:eastAsia="Times New Roman" w:hAnsi="Times New Roman" w:cs="Times New Roman"/>
          <w:b/>
          <w:sz w:val="24"/>
          <w:szCs w:val="24"/>
          <w:lang w:eastAsia="lv-LV"/>
        </w:rPr>
        <w:t xml:space="preserve">sagaidāmo </w:t>
      </w:r>
      <w:r w:rsidRPr="00046FC6">
        <w:rPr>
          <w:rFonts w:ascii="Times New Roman" w:eastAsia="Times New Roman" w:hAnsi="Times New Roman" w:cs="Times New Roman"/>
          <w:b/>
          <w:sz w:val="24"/>
          <w:szCs w:val="24"/>
          <w:lang w:eastAsia="lv-LV"/>
        </w:rPr>
        <w:t>ieguldītāj</w:t>
      </w:r>
      <w:r w:rsidR="00665399" w:rsidRPr="00046FC6">
        <w:rPr>
          <w:rFonts w:ascii="Times New Roman" w:eastAsia="Times New Roman" w:hAnsi="Times New Roman" w:cs="Times New Roman"/>
          <w:b/>
          <w:sz w:val="24"/>
          <w:szCs w:val="24"/>
          <w:lang w:eastAsia="lv-LV"/>
        </w:rPr>
        <w:t>a</w:t>
      </w:r>
      <w:r w:rsidRPr="00046FC6">
        <w:rPr>
          <w:rFonts w:ascii="Times New Roman" w:eastAsia="Times New Roman" w:hAnsi="Times New Roman" w:cs="Times New Roman"/>
          <w:b/>
          <w:sz w:val="24"/>
          <w:szCs w:val="24"/>
          <w:lang w:eastAsia="lv-LV"/>
        </w:rPr>
        <w:t xml:space="preserve"> peļņu un zaudējumu risku</w:t>
      </w:r>
      <w:r w:rsidR="00665399" w:rsidRPr="00046FC6">
        <w:rPr>
          <w:rFonts w:ascii="Times New Roman" w:eastAsia="Times New Roman" w:hAnsi="Times New Roman" w:cs="Times New Roman"/>
          <w:b/>
          <w:sz w:val="24"/>
          <w:szCs w:val="24"/>
          <w:lang w:eastAsia="lv-LV"/>
        </w:rPr>
        <w:t xml:space="preserve"> apmērs</w:t>
      </w:r>
      <w:r w:rsidRPr="00046FC6">
        <w:rPr>
          <w:rFonts w:ascii="Times New Roman" w:eastAsia="Times New Roman" w:hAnsi="Times New Roman" w:cs="Times New Roman"/>
          <w:b/>
          <w:sz w:val="24"/>
          <w:szCs w:val="24"/>
          <w:lang w:eastAsia="lv-LV"/>
        </w:rPr>
        <w:t xml:space="preserve"> (Deleģētās </w:t>
      </w:r>
      <w:r w:rsidR="00A87784" w:rsidRPr="00046FC6">
        <w:rPr>
          <w:rFonts w:ascii="Times New Roman" w:eastAsia="Times New Roman" w:hAnsi="Times New Roman" w:cs="Times New Roman"/>
          <w:b/>
          <w:sz w:val="24"/>
          <w:szCs w:val="24"/>
          <w:lang w:eastAsia="lv-LV"/>
        </w:rPr>
        <w:t>r</w:t>
      </w:r>
      <w:r w:rsidRPr="00046FC6">
        <w:rPr>
          <w:rFonts w:ascii="Times New Roman" w:eastAsia="Times New Roman" w:hAnsi="Times New Roman" w:cs="Times New Roman"/>
          <w:b/>
          <w:sz w:val="24"/>
          <w:szCs w:val="24"/>
          <w:lang w:eastAsia="lv-LV"/>
        </w:rPr>
        <w:t xml:space="preserve">egulas </w:t>
      </w:r>
      <w:r w:rsidR="00A87784" w:rsidRPr="00046FC6">
        <w:rPr>
          <w:rFonts w:ascii="Times New Roman" w:eastAsia="Times New Roman" w:hAnsi="Times New Roman" w:cs="Times New Roman"/>
          <w:b/>
          <w:sz w:val="24"/>
          <w:szCs w:val="24"/>
          <w:lang w:eastAsia="lv-LV"/>
        </w:rPr>
        <w:t xml:space="preserve">Nr. 2017/567 </w:t>
      </w:r>
      <w:r w:rsidRPr="00046FC6">
        <w:rPr>
          <w:rFonts w:ascii="Times New Roman" w:eastAsia="Times New Roman" w:hAnsi="Times New Roman" w:cs="Times New Roman"/>
          <w:b/>
          <w:sz w:val="24"/>
          <w:szCs w:val="24"/>
          <w:lang w:eastAsia="lv-LV"/>
        </w:rPr>
        <w:t>21.</w:t>
      </w:r>
      <w:r w:rsidR="00A87784"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A87784"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b) un f)</w:t>
      </w:r>
      <w:r w:rsidR="00A87784"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78708E39" w14:textId="05743DC4"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EVTI finanšu līgumu par starpību intervences lēmum</w:t>
      </w:r>
      <w:r w:rsidR="00C84876" w:rsidRPr="00046FC6">
        <w:rPr>
          <w:rFonts w:ascii="Times New Roman" w:eastAsia="Times New Roman" w:hAnsi="Times New Roman" w:cs="Times New Roman"/>
          <w:bCs/>
          <w:sz w:val="24"/>
          <w:szCs w:val="24"/>
          <w:lang w:eastAsia="lv-LV"/>
        </w:rPr>
        <w:t>os</w:t>
      </w:r>
      <w:r w:rsidRPr="00046FC6">
        <w:rPr>
          <w:rFonts w:ascii="Times New Roman" w:eastAsia="Times New Roman" w:hAnsi="Times New Roman" w:cs="Times New Roman"/>
          <w:bCs/>
          <w:sz w:val="24"/>
          <w:szCs w:val="24"/>
          <w:lang w:eastAsia="lv-LV"/>
        </w:rPr>
        <w:t xml:space="preserve"> sniegti pierādījumi, kas liecina, ka to privāto klientu skaits, kuri iegulda</w:t>
      </w:r>
      <w:r w:rsidRPr="00046FC6">
        <w:rPr>
          <w:rFonts w:ascii="Times New Roman" w:eastAsia="Times New Roman" w:hAnsi="Times New Roman" w:cs="Times New Roman"/>
          <w:sz w:val="24"/>
          <w:szCs w:val="24"/>
          <w:lang w:eastAsia="lv-LV"/>
        </w:rPr>
        <w:t xml:space="preserve"> </w:t>
      </w:r>
      <w:r w:rsidRPr="00046FC6">
        <w:rPr>
          <w:rFonts w:ascii="Times New Roman" w:eastAsia="Times New Roman" w:hAnsi="Times New Roman" w:cs="Times New Roman"/>
          <w:bCs/>
          <w:sz w:val="24"/>
          <w:szCs w:val="24"/>
          <w:lang w:eastAsia="lv-LV"/>
        </w:rPr>
        <w:t>līgum</w:t>
      </w:r>
      <w:r w:rsidR="00C84876" w:rsidRPr="00046FC6">
        <w:rPr>
          <w:rFonts w:ascii="Times New Roman" w:eastAsia="Times New Roman" w:hAnsi="Times New Roman" w:cs="Times New Roman"/>
          <w:bCs/>
          <w:sz w:val="24"/>
          <w:szCs w:val="24"/>
          <w:lang w:eastAsia="lv-LV"/>
        </w:rPr>
        <w:t>os</w:t>
      </w:r>
      <w:r w:rsidRPr="00046FC6">
        <w:rPr>
          <w:rFonts w:ascii="Times New Roman" w:eastAsia="Times New Roman" w:hAnsi="Times New Roman" w:cs="Times New Roman"/>
          <w:bCs/>
          <w:sz w:val="24"/>
          <w:szCs w:val="24"/>
          <w:lang w:eastAsia="lv-LV"/>
        </w:rPr>
        <w:t xml:space="preserve"> par starpīb</w:t>
      </w:r>
      <w:r w:rsidR="00C84876"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kā arī to pakalpojumu sniedzēju skaits, kuri piedāvā šos produktus visā Eiropas Savienībā, ir pieaudzis līdz pirmā </w:t>
      </w:r>
      <w:r w:rsidR="00C84876" w:rsidRPr="00046FC6">
        <w:rPr>
          <w:rFonts w:ascii="Times New Roman" w:eastAsia="Times New Roman" w:hAnsi="Times New Roman" w:cs="Times New Roman"/>
          <w:bCs/>
          <w:sz w:val="24"/>
          <w:szCs w:val="24"/>
          <w:lang w:eastAsia="lv-LV"/>
        </w:rPr>
        <w:t xml:space="preserve">EVTI </w:t>
      </w:r>
      <w:r w:rsidRPr="00046FC6">
        <w:rPr>
          <w:rFonts w:ascii="Times New Roman" w:eastAsia="Times New Roman" w:hAnsi="Times New Roman" w:cs="Times New Roman"/>
          <w:bCs/>
          <w:sz w:val="24"/>
          <w:szCs w:val="24"/>
          <w:lang w:eastAsia="lv-LV"/>
        </w:rPr>
        <w:t>finanšu līgumu par starpību intervences lēmuma pieņemšanai.</w:t>
      </w:r>
    </w:p>
    <w:p w14:paraId="4004D8C5" w14:textId="39CB4E3C"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EVTI finanšu līgumu par starpību intervences lēmum</w:t>
      </w:r>
      <w:r w:rsidR="00C84876" w:rsidRPr="00046FC6">
        <w:rPr>
          <w:rFonts w:ascii="Times New Roman" w:eastAsia="Times New Roman" w:hAnsi="Times New Roman" w:cs="Times New Roman"/>
          <w:bCs/>
          <w:sz w:val="24"/>
          <w:lang w:eastAsia="lv-LV"/>
        </w:rPr>
        <w:t>os</w:t>
      </w:r>
      <w:r w:rsidRPr="00046FC6">
        <w:rPr>
          <w:rFonts w:ascii="Times New Roman" w:eastAsia="Times New Roman" w:hAnsi="Times New Roman" w:cs="Times New Roman"/>
          <w:bCs/>
          <w:sz w:val="24"/>
          <w:lang w:eastAsia="lv-LV"/>
        </w:rPr>
        <w:t xml:space="preserve"> ir apkopoti īpaši pētījumi, </w:t>
      </w:r>
      <w:r w:rsidR="00C84876" w:rsidRPr="00046FC6">
        <w:rPr>
          <w:rFonts w:ascii="Times New Roman" w:eastAsia="Times New Roman" w:hAnsi="Times New Roman" w:cs="Times New Roman"/>
          <w:bCs/>
          <w:sz w:val="24"/>
          <w:lang w:eastAsia="lv-LV"/>
        </w:rPr>
        <w:t>kurus</w:t>
      </w:r>
      <w:r w:rsidRPr="00046FC6">
        <w:rPr>
          <w:rFonts w:ascii="Times New Roman" w:eastAsia="Times New Roman" w:hAnsi="Times New Roman" w:cs="Times New Roman"/>
          <w:bCs/>
          <w:sz w:val="24"/>
          <w:lang w:eastAsia="lv-LV"/>
        </w:rPr>
        <w:t xml:space="preserve"> vei</w:t>
      </w:r>
      <w:r w:rsidR="00C84876" w:rsidRPr="00046FC6">
        <w:rPr>
          <w:rFonts w:ascii="Times New Roman" w:eastAsia="Times New Roman" w:hAnsi="Times New Roman" w:cs="Times New Roman"/>
          <w:bCs/>
          <w:sz w:val="24"/>
          <w:lang w:eastAsia="lv-LV"/>
        </w:rPr>
        <w:t>ca</w:t>
      </w:r>
      <w:r w:rsidRPr="00046FC6">
        <w:rPr>
          <w:rFonts w:ascii="Times New Roman" w:eastAsia="Times New Roman" w:hAnsi="Times New Roman" w:cs="Times New Roman"/>
          <w:bCs/>
          <w:sz w:val="24"/>
          <w:lang w:eastAsia="lv-LV"/>
        </w:rPr>
        <w:t xml:space="preserve"> dalībvalstu uzraudzības iestādes</w:t>
      </w:r>
      <w:r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bCs/>
          <w:sz w:val="24"/>
          <w:lang w:eastAsia="lv-LV"/>
        </w:rPr>
        <w:t xml:space="preserve">un </w:t>
      </w:r>
      <w:r w:rsidR="00C84876" w:rsidRPr="00046FC6">
        <w:rPr>
          <w:rFonts w:ascii="Times New Roman" w:eastAsia="Times New Roman" w:hAnsi="Times New Roman" w:cs="Times New Roman"/>
          <w:bCs/>
          <w:sz w:val="24"/>
          <w:lang w:eastAsia="lv-LV"/>
        </w:rPr>
        <w:t>kuri</w:t>
      </w:r>
      <w:r w:rsidRPr="00046FC6">
        <w:rPr>
          <w:rFonts w:ascii="Times New Roman" w:eastAsia="Times New Roman" w:hAnsi="Times New Roman" w:cs="Times New Roman"/>
          <w:bCs/>
          <w:sz w:val="24"/>
          <w:lang w:eastAsia="lv-LV"/>
        </w:rPr>
        <w:t xml:space="preserve"> attiecas uz rezultātiem privātajiem klientiem, k</w:t>
      </w:r>
      <w:r w:rsidR="00C60FFE" w:rsidRPr="00046FC6">
        <w:rPr>
          <w:rFonts w:ascii="Times New Roman" w:eastAsia="Times New Roman" w:hAnsi="Times New Roman" w:cs="Times New Roman"/>
          <w:bCs/>
          <w:sz w:val="24"/>
          <w:lang w:eastAsia="lv-LV"/>
        </w:rPr>
        <w:t>as</w:t>
      </w:r>
      <w:r w:rsidRPr="00046FC6">
        <w:rPr>
          <w:rFonts w:ascii="Times New Roman" w:eastAsia="Times New Roman" w:hAnsi="Times New Roman" w:cs="Times New Roman"/>
          <w:bCs/>
          <w:sz w:val="24"/>
          <w:lang w:eastAsia="lv-LV"/>
        </w:rPr>
        <w:t xml:space="preserve"> veic ieguldījumus</w:t>
      </w:r>
      <w:r w:rsidRPr="00046FC6">
        <w:rPr>
          <w:rFonts w:ascii="Times New Roman" w:eastAsia="Times New Roman" w:hAnsi="Times New Roman" w:cs="Times New Roman"/>
          <w:bCs/>
          <w:sz w:val="24"/>
          <w:szCs w:val="24"/>
          <w:lang w:eastAsia="lv-LV"/>
        </w:rPr>
        <w:t xml:space="preserve"> līgumos par starpību</w:t>
      </w:r>
      <w:r w:rsidRPr="00046FC6">
        <w:rPr>
          <w:rFonts w:ascii="Times New Roman" w:eastAsia="Times New Roman" w:hAnsi="Times New Roman" w:cs="Times New Roman"/>
          <w:bCs/>
          <w:sz w:val="24"/>
          <w:lang w:eastAsia="lv-LV"/>
        </w:rPr>
        <w:t xml:space="preserve">, </w:t>
      </w:r>
      <w:r w:rsidR="00C60FFE" w:rsidRPr="00046FC6">
        <w:rPr>
          <w:rFonts w:ascii="Times New Roman" w:eastAsia="Times New Roman" w:hAnsi="Times New Roman" w:cs="Times New Roman"/>
          <w:bCs/>
          <w:sz w:val="24"/>
          <w:lang w:eastAsia="lv-LV"/>
        </w:rPr>
        <w:t xml:space="preserve">un tie </w:t>
      </w:r>
      <w:r w:rsidRPr="00046FC6">
        <w:rPr>
          <w:rFonts w:ascii="Times New Roman" w:eastAsia="Times New Roman" w:hAnsi="Times New Roman" w:cs="Times New Roman"/>
          <w:bCs/>
          <w:sz w:val="24"/>
          <w:lang w:eastAsia="lv-LV"/>
        </w:rPr>
        <w:t>liecina, ka turpmāk minētajās dalībvalstīs vairums privāto klientu, kas veica ieguldījumus šajos produktos, tirdzniecības rezultātā naudu zaudēja</w:t>
      </w:r>
      <w:r w:rsidRPr="00046FC6">
        <w:rPr>
          <w:rFonts w:ascii="Times New Roman" w:eastAsia="Times New Roman" w:hAnsi="Times New Roman" w:cs="Times New Roman"/>
          <w:bCs/>
          <w:sz w:val="24"/>
          <w:szCs w:val="24"/>
          <w:vertAlign w:val="superscript"/>
          <w:lang w:eastAsia="lv-LV"/>
        </w:rPr>
        <w:footnoteReference w:id="53"/>
      </w:r>
      <w:r w:rsidR="00665399" w:rsidRPr="00046FC6">
        <w:rPr>
          <w:rFonts w:ascii="Times New Roman" w:eastAsia="Times New Roman" w:hAnsi="Times New Roman" w:cs="Times New Roman"/>
          <w:bCs/>
          <w:sz w:val="24"/>
          <w:szCs w:val="24"/>
          <w:lang w:eastAsia="lv-LV"/>
        </w:rPr>
        <w:t>:</w:t>
      </w:r>
    </w:p>
    <w:p w14:paraId="43CF17B8" w14:textId="11DDE9C2" w:rsidR="00843A49" w:rsidRPr="00046FC6" w:rsidRDefault="00276BB3" w:rsidP="006221DF">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 xml:space="preserve">Kipras Vērtspapīru un biržu komisija </w:t>
      </w:r>
      <w:r w:rsidR="00843A49" w:rsidRPr="00046FC6">
        <w:rPr>
          <w:rFonts w:ascii="Times New Roman" w:eastAsia="Times New Roman" w:hAnsi="Times New Roman" w:cs="Times New Roman"/>
          <w:bCs/>
          <w:sz w:val="24"/>
          <w:lang w:eastAsia="lv-LV"/>
        </w:rPr>
        <w:t>no 2017.</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gada 1.</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janvāra līdz 2017.</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gada 31.</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augustam veica 18</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lielāko līgumu par starpību produktu sniedzēju privāto klientu kontu izlases analīzi (aptuveni 290</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000 klientu kont</w:t>
      </w:r>
      <w:r w:rsidR="00665399" w:rsidRPr="00046FC6">
        <w:rPr>
          <w:rFonts w:ascii="Times New Roman" w:eastAsia="Times New Roman" w:hAnsi="Times New Roman" w:cs="Times New Roman"/>
          <w:bCs/>
          <w:sz w:val="24"/>
          <w:lang w:eastAsia="lv-LV"/>
        </w:rPr>
        <w:t>u</w:t>
      </w:r>
      <w:r w:rsidR="00843A49" w:rsidRPr="00046FC6">
        <w:rPr>
          <w:rFonts w:ascii="Times New Roman" w:eastAsia="Times New Roman" w:hAnsi="Times New Roman" w:cs="Times New Roman"/>
          <w:bCs/>
          <w:sz w:val="24"/>
          <w:lang w:eastAsia="lv-LV"/>
        </w:rPr>
        <w:t>). Tika konstatēts, ka vidēji 76</w:t>
      </w:r>
      <w:r w:rsidR="00C60FFE"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 klientu kont</w:t>
      </w:r>
      <w:r w:rsidR="00C60FFE" w:rsidRPr="00046FC6">
        <w:rPr>
          <w:rFonts w:ascii="Times New Roman" w:eastAsia="Times New Roman" w:hAnsi="Times New Roman" w:cs="Times New Roman"/>
          <w:bCs/>
          <w:sz w:val="24"/>
          <w:lang w:eastAsia="lv-LV"/>
        </w:rPr>
        <w:t>u</w:t>
      </w:r>
      <w:r w:rsidR="00843A49" w:rsidRPr="00046FC6">
        <w:rPr>
          <w:rFonts w:ascii="Times New Roman" w:eastAsia="Times New Roman" w:hAnsi="Times New Roman" w:cs="Times New Roman"/>
          <w:bCs/>
          <w:sz w:val="24"/>
          <w:lang w:eastAsia="lv-LV"/>
        </w:rPr>
        <w:t xml:space="preserve"> konkrētajā periodā kopumā cieta zaudējumus un aptuveni 24</w:t>
      </w:r>
      <w:r w:rsidR="00C60FFE"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 klientu kont</w:t>
      </w:r>
      <w:r w:rsidR="00C60FFE" w:rsidRPr="00046FC6">
        <w:rPr>
          <w:rFonts w:ascii="Times New Roman" w:eastAsia="Times New Roman" w:hAnsi="Times New Roman" w:cs="Times New Roman"/>
          <w:bCs/>
          <w:sz w:val="24"/>
          <w:lang w:eastAsia="lv-LV"/>
        </w:rPr>
        <w:t>u</w:t>
      </w:r>
      <w:r w:rsidR="00843A49" w:rsidRPr="00046FC6">
        <w:rPr>
          <w:rFonts w:ascii="Times New Roman" w:eastAsia="Times New Roman" w:hAnsi="Times New Roman" w:cs="Times New Roman"/>
          <w:bCs/>
          <w:sz w:val="24"/>
          <w:lang w:eastAsia="lv-LV"/>
        </w:rPr>
        <w:t xml:space="preserve"> guva peļņu. Uz katru kontu vidēji tika zaudēti aptuveni 1600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843A49" w:rsidRPr="00046FC6">
        <w:rPr>
          <w:rFonts w:ascii="Times New Roman" w:eastAsia="Times New Roman" w:hAnsi="Times New Roman" w:cs="Times New Roman"/>
          <w:bCs/>
          <w:sz w:val="24"/>
          <w:lang w:eastAsia="lv-LV"/>
        </w:rPr>
        <w:t>;</w:t>
      </w:r>
    </w:p>
    <w:p w14:paraId="43DCB176" w14:textId="5FF9A305"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 xml:space="preserve">Spānijas </w:t>
      </w:r>
      <w:r w:rsidR="00A733E3" w:rsidRPr="00046FC6">
        <w:rPr>
          <w:rFonts w:ascii="Times New Roman" w:eastAsia="Times New Roman" w:hAnsi="Times New Roman" w:cs="Times New Roman"/>
          <w:bCs/>
          <w:sz w:val="24"/>
          <w:lang w:eastAsia="lv-LV"/>
        </w:rPr>
        <w:t>Valsts vērtspapīru tirgus komisija</w:t>
      </w:r>
      <w:r w:rsidR="00A733E3" w:rsidRPr="00046FC6">
        <w:rPr>
          <w:rFonts w:ascii="Times New Roman" w:eastAsia="Times New Roman" w:hAnsi="Times New Roman" w:cs="Times New Roman"/>
          <w:bCs/>
          <w:i/>
          <w:iCs/>
          <w:sz w:val="24"/>
          <w:lang w:eastAsia="lv-LV"/>
        </w:rPr>
        <w:t xml:space="preserve"> </w:t>
      </w:r>
      <w:r w:rsidRPr="00046FC6">
        <w:rPr>
          <w:rFonts w:ascii="Times New Roman" w:eastAsia="Times New Roman" w:hAnsi="Times New Roman" w:cs="Times New Roman"/>
          <w:bCs/>
          <w:sz w:val="24"/>
          <w:lang w:eastAsia="lv-LV"/>
        </w:rPr>
        <w:t>konstatēja, ka aptuveni 82</w:t>
      </w:r>
      <w:r w:rsidR="00C60FFE"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privāto klientu 21</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mēneša posmā starp 2015.</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 sākumu un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 beigām kopumā zaudēj</w:t>
      </w:r>
      <w:r w:rsidR="00665399" w:rsidRPr="00046FC6">
        <w:rPr>
          <w:rFonts w:ascii="Times New Roman" w:eastAsia="Times New Roman" w:hAnsi="Times New Roman" w:cs="Times New Roman"/>
          <w:bCs/>
          <w:sz w:val="24"/>
          <w:lang w:eastAsia="lv-LV"/>
        </w:rPr>
        <w:t>a</w:t>
      </w:r>
      <w:r w:rsidRPr="00046FC6">
        <w:rPr>
          <w:rFonts w:ascii="Times New Roman" w:eastAsia="Times New Roman" w:hAnsi="Times New Roman" w:cs="Times New Roman"/>
          <w:bCs/>
          <w:sz w:val="24"/>
          <w:lang w:eastAsia="lv-LV"/>
        </w:rPr>
        <w:t xml:space="preserve"> naudu. Vidējais zaudējums uz vienu privāto klientu bija 4700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w:t>
      </w:r>
    </w:p>
    <w:p w14:paraId="437A5164" w14:textId="527DE1DB"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 xml:space="preserve">Francijas </w:t>
      </w:r>
      <w:r w:rsidR="00A733E3" w:rsidRPr="00046FC6">
        <w:rPr>
          <w:rFonts w:ascii="Times New Roman" w:eastAsia="Times New Roman" w:hAnsi="Times New Roman" w:cs="Times New Roman"/>
          <w:bCs/>
          <w:sz w:val="24"/>
          <w:lang w:eastAsia="lv-LV"/>
        </w:rPr>
        <w:t>Finanšu tirgus iestāde</w:t>
      </w:r>
      <w:r w:rsidR="00A733E3" w:rsidRPr="00046FC6">
        <w:rPr>
          <w:rFonts w:ascii="Times New Roman" w:eastAsia="Times New Roman" w:hAnsi="Times New Roman" w:cs="Times New Roman"/>
          <w:bCs/>
          <w:i/>
          <w:iCs/>
          <w:sz w:val="24"/>
          <w:lang w:eastAsia="lv-LV"/>
        </w:rPr>
        <w:t xml:space="preserve"> </w:t>
      </w:r>
      <w:r w:rsidRPr="00046FC6">
        <w:rPr>
          <w:rFonts w:ascii="Times New Roman" w:eastAsia="Times New Roman" w:hAnsi="Times New Roman" w:cs="Times New Roman"/>
          <w:bCs/>
          <w:sz w:val="24"/>
          <w:lang w:eastAsia="lv-LV"/>
        </w:rPr>
        <w:t>(</w:t>
      </w:r>
      <w:r w:rsidR="00A733E3" w:rsidRPr="00046FC6">
        <w:rPr>
          <w:rFonts w:ascii="Times New Roman" w:eastAsia="Times New Roman" w:hAnsi="Times New Roman" w:cs="Times New Roman"/>
          <w:bCs/>
          <w:sz w:val="24"/>
          <w:lang w:eastAsia="lv-LV"/>
        </w:rPr>
        <w:t xml:space="preserve">turpmāk – </w:t>
      </w:r>
      <w:r w:rsidRPr="00046FC6">
        <w:rPr>
          <w:rFonts w:ascii="Times New Roman" w:eastAsia="Times New Roman" w:hAnsi="Times New Roman" w:cs="Times New Roman"/>
          <w:bCs/>
          <w:sz w:val="24"/>
          <w:lang w:eastAsia="lv-LV"/>
        </w:rPr>
        <w:t>FR-AMF) konstatēja, ka vairāk nekā 89</w:t>
      </w:r>
      <w:r w:rsidR="00C60FFE"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privāto ieguldītāju četru gadu laikā no 2009.</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 līdz 2013.</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gadam kopumā zaudēja naudu un ka vidējie zaudējumi uz vienu privāto klientu bija 10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887</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xml:space="preserve">. Turklāt saskaņā ar FR-AMF sniegtajiem </w:t>
      </w:r>
      <w:r w:rsidR="00546592" w:rsidRPr="00046FC6">
        <w:rPr>
          <w:rFonts w:ascii="Times New Roman" w:eastAsia="Times New Roman" w:hAnsi="Times New Roman" w:cs="Times New Roman"/>
          <w:bCs/>
          <w:sz w:val="24"/>
          <w:lang w:eastAsia="lv-LV"/>
        </w:rPr>
        <w:t>Francijas o</w:t>
      </w:r>
      <w:r w:rsidRPr="00046FC6">
        <w:rPr>
          <w:rFonts w:ascii="Times New Roman" w:eastAsia="Times New Roman" w:hAnsi="Times New Roman" w:cs="Times New Roman"/>
          <w:bCs/>
          <w:sz w:val="24"/>
          <w:lang w:eastAsia="lv-LV"/>
        </w:rPr>
        <w:t>mbuda biroja datiem tika konstatēts, ka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gadā </w:t>
      </w:r>
      <w:r w:rsidR="00C60FFE" w:rsidRPr="00046FC6">
        <w:rPr>
          <w:rFonts w:ascii="Times New Roman" w:eastAsia="Times New Roman" w:hAnsi="Times New Roman" w:cs="Times New Roman"/>
          <w:bCs/>
          <w:sz w:val="24"/>
          <w:lang w:eastAsia="lv-LV"/>
        </w:rPr>
        <w:t xml:space="preserve">sūdzību iesniedzēju par </w:t>
      </w:r>
      <w:r w:rsidRPr="00046FC6">
        <w:rPr>
          <w:rFonts w:ascii="Times New Roman" w:eastAsia="Times New Roman" w:hAnsi="Times New Roman" w:cs="Times New Roman"/>
          <w:bCs/>
          <w:sz w:val="24"/>
          <w:lang w:eastAsia="lv-LV"/>
        </w:rPr>
        <w:t>līgum</w:t>
      </w:r>
      <w:r w:rsidR="00C60FFE" w:rsidRPr="00046FC6">
        <w:rPr>
          <w:rFonts w:ascii="Times New Roman" w:eastAsia="Times New Roman" w:hAnsi="Times New Roman" w:cs="Times New Roman"/>
          <w:bCs/>
          <w:sz w:val="24"/>
          <w:lang w:eastAsia="lv-LV"/>
        </w:rPr>
        <w:t>iem</w:t>
      </w:r>
      <w:r w:rsidRPr="00046FC6">
        <w:rPr>
          <w:rFonts w:ascii="Times New Roman" w:eastAsia="Times New Roman" w:hAnsi="Times New Roman" w:cs="Times New Roman"/>
          <w:bCs/>
          <w:sz w:val="24"/>
          <w:lang w:eastAsia="lv-LV"/>
        </w:rPr>
        <w:t xml:space="preserve"> par starpību vidējie gada zaudējumi kopumā </w:t>
      </w:r>
      <w:r w:rsidR="00C60FFE" w:rsidRPr="00046FC6">
        <w:rPr>
          <w:rFonts w:ascii="Times New Roman" w:eastAsia="Times New Roman" w:hAnsi="Times New Roman" w:cs="Times New Roman"/>
          <w:bCs/>
          <w:sz w:val="24"/>
          <w:lang w:eastAsia="lv-LV"/>
        </w:rPr>
        <w:t xml:space="preserve">bija </w:t>
      </w:r>
      <w:r w:rsidRPr="00046FC6">
        <w:rPr>
          <w:rFonts w:ascii="Times New Roman" w:eastAsia="Times New Roman" w:hAnsi="Times New Roman" w:cs="Times New Roman"/>
          <w:bCs/>
          <w:sz w:val="24"/>
          <w:lang w:eastAsia="lv-LV"/>
        </w:rPr>
        <w:t>15</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207</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xml:space="preserve">. Turklāt </w:t>
      </w:r>
      <w:r w:rsidR="00546592" w:rsidRPr="00046FC6">
        <w:rPr>
          <w:rFonts w:ascii="Times New Roman" w:eastAsia="Times New Roman" w:hAnsi="Times New Roman" w:cs="Times New Roman"/>
          <w:bCs/>
          <w:sz w:val="24"/>
          <w:lang w:eastAsia="lv-LV"/>
        </w:rPr>
        <w:t>Francijas o</w:t>
      </w:r>
      <w:r w:rsidRPr="00046FC6">
        <w:rPr>
          <w:rFonts w:ascii="Times New Roman" w:eastAsia="Times New Roman" w:hAnsi="Times New Roman" w:cs="Times New Roman"/>
          <w:bCs/>
          <w:sz w:val="24"/>
          <w:lang w:eastAsia="lv-LV"/>
        </w:rPr>
        <w:t>mbuds norādīja, ka īpaši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un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regulēto produktu sniedzēju prakse kļuva vēl agresīvāka un arvien vairāk tika virzīta uz ieguldītājiem, kuri, iespējams, varētu veikt ievērojamus maksājumus. Vairāk</w:t>
      </w:r>
      <w:r w:rsidR="00546592" w:rsidRPr="00046FC6">
        <w:rPr>
          <w:rFonts w:ascii="Times New Roman" w:eastAsia="Times New Roman" w:hAnsi="Times New Roman" w:cs="Times New Roman"/>
          <w:bCs/>
          <w:sz w:val="24"/>
          <w:lang w:eastAsia="lv-LV"/>
        </w:rPr>
        <w:t>as</w:t>
      </w:r>
      <w:r w:rsidRPr="00046FC6">
        <w:rPr>
          <w:rFonts w:ascii="Times New Roman" w:eastAsia="Times New Roman" w:hAnsi="Times New Roman" w:cs="Times New Roman"/>
          <w:bCs/>
          <w:sz w:val="24"/>
          <w:lang w:eastAsia="lv-LV"/>
        </w:rPr>
        <w:t xml:space="preserve"> sūdzīb</w:t>
      </w:r>
      <w:r w:rsidR="00546592" w:rsidRPr="00046FC6">
        <w:rPr>
          <w:rFonts w:ascii="Times New Roman" w:eastAsia="Times New Roman" w:hAnsi="Times New Roman" w:cs="Times New Roman"/>
          <w:bCs/>
          <w:sz w:val="24"/>
          <w:lang w:eastAsia="lv-LV"/>
        </w:rPr>
        <w:t>as</w:t>
      </w:r>
      <w:r w:rsidRPr="00046FC6">
        <w:rPr>
          <w:rFonts w:ascii="Times New Roman" w:eastAsia="Times New Roman" w:hAnsi="Times New Roman" w:cs="Times New Roman"/>
          <w:bCs/>
          <w:sz w:val="24"/>
          <w:lang w:eastAsia="lv-LV"/>
        </w:rPr>
        <w:t xml:space="preserve"> par aizskaršanas un manipulāciju gadījumiem tika saņemt</w:t>
      </w:r>
      <w:r w:rsidR="00546592" w:rsidRPr="00046FC6">
        <w:rPr>
          <w:rFonts w:ascii="Times New Roman" w:eastAsia="Times New Roman" w:hAnsi="Times New Roman" w:cs="Times New Roman"/>
          <w:bCs/>
          <w:sz w:val="24"/>
          <w:lang w:eastAsia="lv-LV"/>
        </w:rPr>
        <w:t>as</w:t>
      </w:r>
      <w:r w:rsidRPr="00046FC6">
        <w:rPr>
          <w:rFonts w:ascii="Times New Roman" w:eastAsia="Times New Roman" w:hAnsi="Times New Roman" w:cs="Times New Roman"/>
          <w:bCs/>
          <w:sz w:val="24"/>
          <w:lang w:eastAsia="lv-LV"/>
        </w:rPr>
        <w:t xml:space="preserve"> no personām, kurām ir ievērojami ietaupījumi. </w:t>
      </w:r>
      <w:r w:rsidR="00C60FFE" w:rsidRPr="00046FC6">
        <w:rPr>
          <w:rFonts w:ascii="Times New Roman" w:eastAsia="Times New Roman" w:hAnsi="Times New Roman" w:cs="Times New Roman"/>
          <w:bCs/>
          <w:sz w:val="24"/>
          <w:lang w:eastAsia="lv-LV"/>
        </w:rPr>
        <w:t>Iespējams</w:t>
      </w:r>
      <w:r w:rsidRPr="00046FC6">
        <w:rPr>
          <w:rFonts w:ascii="Times New Roman" w:eastAsia="Times New Roman" w:hAnsi="Times New Roman" w:cs="Times New Roman"/>
          <w:bCs/>
          <w:sz w:val="24"/>
          <w:lang w:eastAsia="lv-LV"/>
        </w:rPr>
        <w:t>, ka iepriekšminēto papildina par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 mediācijas procesiem Francijas ombudā saņemtie dati, kuri rāda, ka vidējā atgūtā summa ir palielinājusies līdz 11</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938</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xml:space="preserve"> un puse no visām lietām attiecas uz summām, kas pārsniedz 5000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Dažu ieguldītāju zaudējumi sasniedza 90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000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un kopējie zaudējumi lietās, k</w:t>
      </w:r>
      <w:r w:rsidR="00C60FFE" w:rsidRPr="00046FC6">
        <w:rPr>
          <w:rFonts w:ascii="Times New Roman" w:eastAsia="Times New Roman" w:hAnsi="Times New Roman" w:cs="Times New Roman"/>
          <w:bCs/>
          <w:sz w:val="24"/>
          <w:lang w:eastAsia="lv-LV"/>
        </w:rPr>
        <w:t>ur</w:t>
      </w:r>
      <w:r w:rsidRPr="00046FC6">
        <w:rPr>
          <w:rFonts w:ascii="Times New Roman" w:eastAsia="Times New Roman" w:hAnsi="Times New Roman" w:cs="Times New Roman"/>
          <w:bCs/>
          <w:sz w:val="24"/>
          <w:lang w:eastAsia="lv-LV"/>
        </w:rPr>
        <w:t>as tika izskatītas pēc būtības un kurās bija iesaistītas atļauju saņēmušas sabiedrības, pārsniedza 1</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milj</w:t>
      </w:r>
      <w:r w:rsidR="00C60FFE" w:rsidRPr="00046FC6">
        <w:rPr>
          <w:rFonts w:ascii="Times New Roman" w:eastAsia="Times New Roman" w:hAnsi="Times New Roman" w:cs="Times New Roman"/>
          <w:bCs/>
          <w:sz w:val="24"/>
          <w:lang w:eastAsia="lv-LV"/>
        </w:rPr>
        <w:t>.</w:t>
      </w:r>
      <w:r w:rsidRPr="00046FC6">
        <w:rPr>
          <w:rFonts w:ascii="Times New Roman" w:eastAsia="Times New Roman" w:hAnsi="Times New Roman" w:cs="Times New Roman"/>
          <w:bCs/>
          <w:sz w:val="24"/>
          <w:lang w:eastAsia="lv-LV"/>
        </w:rPr>
        <w:t xml:space="preserve">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xml:space="preserve">. FR-AMF arī konstatēja, ka vislielākos zaudējumus cieta tie privātie ieguldītāji, kuri nodarbojās ar tirdzniecību visvairāk (spriežot pēc tirdzniecības darījumu skaita, darījumu vidējā lieluma vai kopējā apjoma). Tas pats attiecas arī uz </w:t>
      </w:r>
      <w:r w:rsidR="00546592" w:rsidRPr="00046FC6">
        <w:rPr>
          <w:rFonts w:ascii="Times New Roman" w:eastAsia="Times New Roman" w:hAnsi="Times New Roman" w:cs="Times New Roman"/>
          <w:bCs/>
          <w:sz w:val="24"/>
          <w:lang w:eastAsia="lv-LV"/>
        </w:rPr>
        <w:t>ieguldītājiem</w:t>
      </w:r>
      <w:r w:rsidRPr="00046FC6">
        <w:rPr>
          <w:rFonts w:ascii="Times New Roman" w:eastAsia="Times New Roman" w:hAnsi="Times New Roman" w:cs="Times New Roman"/>
          <w:bCs/>
          <w:sz w:val="24"/>
          <w:lang w:eastAsia="lv-LV"/>
        </w:rPr>
        <w:t>, kuri laika gaitā turpina ieguldīt, kas norāda, ka mācība nav gūta;</w:t>
      </w:r>
    </w:p>
    <w:p w14:paraId="4E8851C2" w14:textId="555E1ED9"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 xml:space="preserve">Horvātijas </w:t>
      </w:r>
      <w:r w:rsidR="00FA3C1F" w:rsidRPr="00046FC6">
        <w:rPr>
          <w:rFonts w:ascii="Times New Roman" w:eastAsia="Times New Roman" w:hAnsi="Times New Roman" w:cs="Times New Roman"/>
          <w:bCs/>
          <w:sz w:val="24"/>
          <w:lang w:eastAsia="lv-LV"/>
        </w:rPr>
        <w:t>Finanšu pakalpojumu uzraudzības aģentūra</w:t>
      </w:r>
      <w:r w:rsidR="00FA3C1F" w:rsidRPr="00046FC6">
        <w:rPr>
          <w:rFonts w:ascii="Times New Roman" w:eastAsia="Times New Roman" w:hAnsi="Times New Roman" w:cs="Times New Roman"/>
          <w:bCs/>
          <w:i/>
          <w:iCs/>
          <w:sz w:val="24"/>
          <w:lang w:eastAsia="lv-LV"/>
        </w:rPr>
        <w:t xml:space="preserve"> </w:t>
      </w:r>
      <w:r w:rsidRPr="00046FC6">
        <w:rPr>
          <w:rFonts w:ascii="Times New Roman" w:eastAsia="Times New Roman" w:hAnsi="Times New Roman" w:cs="Times New Roman"/>
          <w:bCs/>
          <w:sz w:val="24"/>
          <w:lang w:eastAsia="lv-LV"/>
        </w:rPr>
        <w:t>(</w:t>
      </w:r>
      <w:r w:rsidR="00546592" w:rsidRPr="00046FC6">
        <w:rPr>
          <w:rFonts w:ascii="Times New Roman" w:eastAsia="Times New Roman" w:hAnsi="Times New Roman" w:cs="Times New Roman"/>
          <w:bCs/>
          <w:sz w:val="24"/>
          <w:lang w:eastAsia="lv-LV"/>
        </w:rPr>
        <w:t xml:space="preserve">turpmāk – </w:t>
      </w:r>
      <w:r w:rsidRPr="00046FC6">
        <w:rPr>
          <w:rFonts w:ascii="Times New Roman" w:eastAsia="Times New Roman" w:hAnsi="Times New Roman" w:cs="Times New Roman"/>
          <w:bCs/>
          <w:sz w:val="24"/>
          <w:lang w:eastAsia="lv-LV"/>
        </w:rPr>
        <w:t>HR-HANFA) veica pētījumu par zaudējumiem uz vienu klientu saistībā ar kādu Horvātijas ieguldījumu sabiedrību, kas saviem klientiem piedāvā</w:t>
      </w:r>
      <w:r w:rsidR="00FA3C1F" w:rsidRPr="00046FC6">
        <w:rPr>
          <w:rFonts w:ascii="Times New Roman" w:eastAsia="Times New Roman" w:hAnsi="Times New Roman" w:cs="Times New Roman"/>
          <w:bCs/>
          <w:sz w:val="24"/>
          <w:lang w:eastAsia="lv-LV"/>
        </w:rPr>
        <w:t>ja</w:t>
      </w:r>
      <w:r w:rsidRPr="00046FC6">
        <w:rPr>
          <w:rFonts w:ascii="Times New Roman" w:eastAsia="Times New Roman" w:hAnsi="Times New Roman" w:cs="Times New Roman"/>
          <w:bCs/>
          <w:sz w:val="24"/>
          <w:lang w:eastAsia="lv-LV"/>
        </w:rPr>
        <w:t xml:space="preserve"> līgumus par starpību. Pētījumā tika veikts vērtējums par 267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privāto klientu veiktās tirdzniecības zaudējumiem vai peļņu laika posmā no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 janvāra līdz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gada septembrim. HR-HANFA konstatēja, ka kopējie klientu zaudējumi šajā </w:t>
      </w:r>
      <w:r w:rsidR="00C60FFE" w:rsidRPr="00046FC6">
        <w:rPr>
          <w:rFonts w:ascii="Times New Roman" w:eastAsia="Times New Roman" w:hAnsi="Times New Roman" w:cs="Times New Roman"/>
          <w:bCs/>
          <w:sz w:val="24"/>
          <w:lang w:eastAsia="lv-LV"/>
        </w:rPr>
        <w:t xml:space="preserve">laikā bija </w:t>
      </w:r>
      <w:r w:rsidRPr="00046FC6">
        <w:rPr>
          <w:rFonts w:ascii="Times New Roman" w:eastAsia="Times New Roman" w:hAnsi="Times New Roman" w:cs="Times New Roman"/>
          <w:bCs/>
          <w:sz w:val="24"/>
          <w:lang w:eastAsia="lv-LV"/>
        </w:rPr>
        <w:t>aptuveni 1</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900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bet kopējā privāto klientu peļņa bija aptuveni 420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000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w:t>
      </w:r>
    </w:p>
    <w:p w14:paraId="6D9AD0D2" w14:textId="49C96A82"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lastRenderedPageBreak/>
        <w:t>Īrijas Centrālā banka 2015.</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gadā </w:t>
      </w:r>
      <w:r w:rsidR="00C60FFE" w:rsidRPr="00046FC6">
        <w:rPr>
          <w:rFonts w:ascii="Times New Roman" w:eastAsia="Times New Roman" w:hAnsi="Times New Roman" w:cs="Times New Roman"/>
          <w:bCs/>
          <w:sz w:val="24"/>
          <w:lang w:eastAsia="lv-LV"/>
        </w:rPr>
        <w:t xml:space="preserve">sagatavoja </w:t>
      </w:r>
      <w:r w:rsidRPr="00046FC6">
        <w:rPr>
          <w:rFonts w:ascii="Times New Roman" w:eastAsia="Times New Roman" w:hAnsi="Times New Roman" w:cs="Times New Roman"/>
          <w:bCs/>
          <w:sz w:val="24"/>
          <w:lang w:eastAsia="lv-LV"/>
        </w:rPr>
        <w:t>tematisko pārskatu, kurā tika noskaidrots, ka 75</w:t>
      </w:r>
      <w:r w:rsidR="00C60FFE"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privāto klientu, kas 2013.</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un 2014.</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gadā tirgoja </w:t>
      </w:r>
      <w:bookmarkStart w:id="16" w:name="_Hlk173926527"/>
      <w:r w:rsidRPr="00046FC6">
        <w:rPr>
          <w:rFonts w:ascii="Times New Roman" w:eastAsia="Times New Roman" w:hAnsi="Times New Roman" w:cs="Times New Roman"/>
          <w:bCs/>
          <w:sz w:val="24"/>
          <w:lang w:eastAsia="lv-LV"/>
        </w:rPr>
        <w:t>finanšu līgumus par starpību</w:t>
      </w:r>
      <w:bookmarkEnd w:id="16"/>
      <w:r w:rsidRPr="00046FC6">
        <w:rPr>
          <w:rFonts w:ascii="Times New Roman" w:eastAsia="Times New Roman" w:hAnsi="Times New Roman" w:cs="Times New Roman"/>
          <w:bCs/>
          <w:sz w:val="24"/>
          <w:lang w:eastAsia="lv-LV"/>
        </w:rPr>
        <w:t>, cieta zaudējumus, kuru vidējais apmērs klient</w:t>
      </w:r>
      <w:r w:rsidR="00C60FFE" w:rsidRPr="00046FC6">
        <w:rPr>
          <w:rFonts w:ascii="Times New Roman" w:eastAsia="Times New Roman" w:hAnsi="Times New Roman" w:cs="Times New Roman"/>
          <w:bCs/>
          <w:sz w:val="24"/>
          <w:lang w:eastAsia="lv-LV"/>
        </w:rPr>
        <w:t>a</w:t>
      </w:r>
      <w:r w:rsidRPr="00046FC6">
        <w:rPr>
          <w:rFonts w:ascii="Times New Roman" w:eastAsia="Times New Roman" w:hAnsi="Times New Roman" w:cs="Times New Roman"/>
          <w:bCs/>
          <w:sz w:val="24"/>
          <w:lang w:eastAsia="lv-LV"/>
        </w:rPr>
        <w:t xml:space="preserve">m </w:t>
      </w:r>
      <w:r w:rsidR="00C60FFE" w:rsidRPr="00046FC6">
        <w:rPr>
          <w:rFonts w:ascii="Times New Roman" w:eastAsia="Times New Roman" w:hAnsi="Times New Roman" w:cs="Times New Roman"/>
          <w:bCs/>
          <w:sz w:val="24"/>
          <w:lang w:eastAsia="lv-LV"/>
        </w:rPr>
        <w:t xml:space="preserve">bija </w:t>
      </w:r>
      <w:r w:rsidRPr="00046FC6">
        <w:rPr>
          <w:rFonts w:ascii="Times New Roman" w:eastAsia="Times New Roman" w:hAnsi="Times New Roman" w:cs="Times New Roman"/>
          <w:bCs/>
          <w:sz w:val="24"/>
          <w:lang w:eastAsia="lv-LV"/>
        </w:rPr>
        <w:t>6900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Pārskatam sekojošajā pārbaudē, kurā izlases veidā</w:t>
      </w:r>
      <w:r w:rsidR="00C60FFE" w:rsidRPr="00046FC6">
        <w:rPr>
          <w:rFonts w:ascii="Times New Roman" w:eastAsia="Times New Roman" w:hAnsi="Times New Roman" w:cs="Times New Roman"/>
          <w:bCs/>
          <w:sz w:val="24"/>
          <w:lang w:eastAsia="lv-LV"/>
        </w:rPr>
        <w:t xml:space="preserve"> tika</w:t>
      </w:r>
      <w:r w:rsidRPr="00046FC6">
        <w:rPr>
          <w:rFonts w:ascii="Times New Roman" w:eastAsia="Times New Roman" w:hAnsi="Times New Roman" w:cs="Times New Roman"/>
          <w:bCs/>
          <w:sz w:val="24"/>
          <w:lang w:eastAsia="lv-LV"/>
        </w:rPr>
        <w:t xml:space="preserve"> pārbaudī</w:t>
      </w:r>
      <w:r w:rsidR="00C60FFE" w:rsidRPr="00046FC6">
        <w:rPr>
          <w:rFonts w:ascii="Times New Roman" w:eastAsia="Times New Roman" w:hAnsi="Times New Roman" w:cs="Times New Roman"/>
          <w:bCs/>
          <w:sz w:val="24"/>
          <w:lang w:eastAsia="lv-LV"/>
        </w:rPr>
        <w:t>ti</w:t>
      </w:r>
      <w:r w:rsidRPr="00046FC6">
        <w:rPr>
          <w:rFonts w:ascii="Times New Roman" w:eastAsia="Times New Roman" w:hAnsi="Times New Roman" w:cs="Times New Roman"/>
          <w:bCs/>
          <w:sz w:val="24"/>
          <w:lang w:eastAsia="lv-LV"/>
        </w:rPr>
        <w:t xml:space="preserve"> Īrijas lielāk</w:t>
      </w:r>
      <w:r w:rsidR="00C60FFE" w:rsidRPr="00046FC6">
        <w:rPr>
          <w:rFonts w:ascii="Times New Roman" w:eastAsia="Times New Roman" w:hAnsi="Times New Roman" w:cs="Times New Roman"/>
          <w:bCs/>
          <w:sz w:val="24"/>
          <w:lang w:eastAsia="lv-LV"/>
        </w:rPr>
        <w:t>ie</w:t>
      </w:r>
      <w:r w:rsidRPr="00046FC6">
        <w:rPr>
          <w:rFonts w:ascii="Times New Roman" w:eastAsia="Times New Roman" w:hAnsi="Times New Roman" w:cs="Times New Roman"/>
          <w:bCs/>
          <w:sz w:val="24"/>
          <w:lang w:eastAsia="lv-LV"/>
        </w:rPr>
        <w:t xml:space="preserve"> finanšu līgumu par starpību </w:t>
      </w:r>
      <w:r w:rsidR="00AA2506" w:rsidRPr="00046FC6">
        <w:rPr>
          <w:rFonts w:ascii="Times New Roman" w:eastAsia="Times New Roman" w:hAnsi="Times New Roman" w:cs="Times New Roman"/>
          <w:bCs/>
          <w:sz w:val="24"/>
          <w:lang w:eastAsia="lv-LV"/>
        </w:rPr>
        <w:t xml:space="preserve">pakalpojumu </w:t>
      </w:r>
      <w:r w:rsidRPr="00046FC6">
        <w:rPr>
          <w:rFonts w:ascii="Times New Roman" w:eastAsia="Times New Roman" w:hAnsi="Times New Roman" w:cs="Times New Roman"/>
          <w:bCs/>
          <w:sz w:val="24"/>
          <w:lang w:eastAsia="lv-LV"/>
        </w:rPr>
        <w:t>sniedzēj</w:t>
      </w:r>
      <w:r w:rsidR="00C60FFE" w:rsidRPr="00046FC6">
        <w:rPr>
          <w:rFonts w:ascii="Times New Roman" w:eastAsia="Times New Roman" w:hAnsi="Times New Roman" w:cs="Times New Roman"/>
          <w:bCs/>
          <w:sz w:val="24"/>
          <w:lang w:eastAsia="lv-LV"/>
        </w:rPr>
        <w:t>i</w:t>
      </w:r>
      <w:r w:rsidRPr="00046FC6">
        <w:rPr>
          <w:rFonts w:ascii="Times New Roman" w:eastAsia="Times New Roman" w:hAnsi="Times New Roman" w:cs="Times New Roman"/>
          <w:bCs/>
          <w:sz w:val="24"/>
          <w:lang w:eastAsia="lv-LV"/>
        </w:rPr>
        <w:t>, tika konstatēts, ka divu gadu posmā no 2015. līdz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gadam naudu zaudēja 74</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privāto klientu un vidējais zaudējumu rādītājs bija 2700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w:t>
      </w:r>
    </w:p>
    <w:p w14:paraId="1BC1F7B7" w14:textId="5EA0B34E"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IT-CONSOB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veiktais darbs parādīj</w:t>
      </w:r>
      <w:r w:rsidR="00AA2506" w:rsidRPr="00046FC6">
        <w:rPr>
          <w:rFonts w:ascii="Times New Roman" w:eastAsia="Times New Roman" w:hAnsi="Times New Roman" w:cs="Times New Roman"/>
          <w:bCs/>
          <w:sz w:val="24"/>
          <w:lang w:eastAsia="lv-LV"/>
        </w:rPr>
        <w:t>a</w:t>
      </w:r>
      <w:r w:rsidRPr="00046FC6">
        <w:rPr>
          <w:rFonts w:ascii="Times New Roman" w:eastAsia="Times New Roman" w:hAnsi="Times New Roman" w:cs="Times New Roman"/>
          <w:bCs/>
          <w:sz w:val="24"/>
          <w:lang w:eastAsia="lv-LV"/>
        </w:rPr>
        <w:t>, ka 2014.–2015.</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78</w:t>
      </w:r>
      <w:r w:rsidR="00AA2506"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Itālijas konkrēt</w:t>
      </w:r>
      <w:r w:rsidR="00FF4220" w:rsidRPr="00046FC6">
        <w:rPr>
          <w:rFonts w:ascii="Times New Roman" w:eastAsia="Times New Roman" w:hAnsi="Times New Roman" w:cs="Times New Roman"/>
          <w:bCs/>
          <w:sz w:val="24"/>
          <w:lang w:eastAsia="lv-LV"/>
        </w:rPr>
        <w:t>ā</w:t>
      </w:r>
      <w:r w:rsidRPr="00046FC6">
        <w:rPr>
          <w:rFonts w:ascii="Times New Roman" w:eastAsia="Times New Roman" w:hAnsi="Times New Roman" w:cs="Times New Roman"/>
          <w:bCs/>
          <w:sz w:val="24"/>
          <w:lang w:eastAsia="lv-LV"/>
        </w:rPr>
        <w:t xml:space="preserve"> līgumu par starpību </w:t>
      </w:r>
      <w:r w:rsidR="00BD79C8" w:rsidRPr="00046FC6">
        <w:rPr>
          <w:rFonts w:ascii="Times New Roman" w:eastAsia="Times New Roman" w:hAnsi="Times New Roman" w:cs="Times New Roman"/>
          <w:bCs/>
          <w:sz w:val="24"/>
          <w:lang w:eastAsia="lv-LV"/>
        </w:rPr>
        <w:t xml:space="preserve">pakalpojumu </w:t>
      </w:r>
      <w:r w:rsidRPr="00046FC6">
        <w:rPr>
          <w:rFonts w:ascii="Times New Roman" w:eastAsia="Times New Roman" w:hAnsi="Times New Roman" w:cs="Times New Roman"/>
          <w:bCs/>
          <w:sz w:val="24"/>
          <w:lang w:eastAsia="lv-LV"/>
        </w:rPr>
        <w:t>sniedzēja privāt</w:t>
      </w:r>
      <w:r w:rsidR="00AA2506" w:rsidRPr="00046FC6">
        <w:rPr>
          <w:rFonts w:ascii="Times New Roman" w:eastAsia="Times New Roman" w:hAnsi="Times New Roman" w:cs="Times New Roman"/>
          <w:bCs/>
          <w:sz w:val="24"/>
          <w:lang w:eastAsia="lv-LV"/>
        </w:rPr>
        <w:t>o</w:t>
      </w:r>
      <w:r w:rsidRPr="00046FC6">
        <w:rPr>
          <w:rFonts w:ascii="Times New Roman" w:eastAsia="Times New Roman" w:hAnsi="Times New Roman" w:cs="Times New Roman"/>
          <w:bCs/>
          <w:sz w:val="24"/>
          <w:lang w:eastAsia="lv-LV"/>
        </w:rPr>
        <w:t xml:space="preserve"> klient</w:t>
      </w:r>
      <w:r w:rsidR="00AA2506" w:rsidRPr="00046FC6">
        <w:rPr>
          <w:rFonts w:ascii="Times New Roman" w:eastAsia="Times New Roman" w:hAnsi="Times New Roman" w:cs="Times New Roman"/>
          <w:bCs/>
          <w:sz w:val="24"/>
          <w:lang w:eastAsia="lv-LV"/>
        </w:rPr>
        <w:t>u</w:t>
      </w:r>
      <w:r w:rsidRPr="00046FC6">
        <w:rPr>
          <w:rFonts w:ascii="Times New Roman" w:eastAsia="Times New Roman" w:hAnsi="Times New Roman" w:cs="Times New Roman"/>
          <w:bCs/>
          <w:sz w:val="24"/>
          <w:lang w:eastAsia="lv-LV"/>
        </w:rPr>
        <w:t xml:space="preserve"> zaudēja naudu, veicot ieguldījumus līgumos par starpību, un 75</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 klientu zaudēja naudu, veicot ieguldījumus pārnesamos valūtas tirdzniecības līgumos, </w:t>
      </w:r>
      <w:r w:rsidR="00AA2506" w:rsidRPr="00046FC6">
        <w:rPr>
          <w:rFonts w:ascii="Times New Roman" w:eastAsia="Times New Roman" w:hAnsi="Times New Roman" w:cs="Times New Roman"/>
          <w:bCs/>
          <w:sz w:val="24"/>
          <w:lang w:eastAsia="lv-LV"/>
        </w:rPr>
        <w:t xml:space="preserve">un </w:t>
      </w:r>
      <w:r w:rsidRPr="00046FC6">
        <w:rPr>
          <w:rFonts w:ascii="Times New Roman" w:eastAsia="Times New Roman" w:hAnsi="Times New Roman" w:cs="Times New Roman"/>
          <w:bCs/>
          <w:sz w:val="24"/>
          <w:lang w:eastAsia="lv-LV"/>
        </w:rPr>
        <w:t>vidējais zaudējumu rādītājs bija 2800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 xml:space="preserve">. Tika arī konstatēts, ka pastāv pozitīva </w:t>
      </w:r>
      <w:r w:rsidR="006D759C" w:rsidRPr="00046FC6">
        <w:rPr>
          <w:rFonts w:ascii="Times New Roman" w:eastAsia="Times New Roman" w:hAnsi="Times New Roman" w:cs="Times New Roman"/>
          <w:bCs/>
          <w:sz w:val="24"/>
          <w:lang w:eastAsia="lv-LV"/>
        </w:rPr>
        <w:t xml:space="preserve">korelācija </w:t>
      </w:r>
      <w:r w:rsidRPr="00046FC6">
        <w:rPr>
          <w:rFonts w:ascii="Times New Roman" w:eastAsia="Times New Roman" w:hAnsi="Times New Roman" w:cs="Times New Roman"/>
          <w:bCs/>
          <w:sz w:val="24"/>
          <w:lang w:eastAsia="lv-LV"/>
        </w:rPr>
        <w:t xml:space="preserve">starp privāto klientu veikto tirdzniecības darījumu skaitu un zaudējumu apmēru. </w:t>
      </w:r>
      <w:r w:rsidR="00FF4220" w:rsidRPr="00046FC6">
        <w:rPr>
          <w:rFonts w:ascii="Times New Roman" w:eastAsia="Times New Roman" w:hAnsi="Times New Roman" w:cs="Times New Roman"/>
          <w:bCs/>
          <w:sz w:val="24"/>
          <w:lang w:eastAsia="lv-LV"/>
        </w:rPr>
        <w:t>A</w:t>
      </w:r>
      <w:r w:rsidRPr="00046FC6">
        <w:rPr>
          <w:rFonts w:ascii="Times New Roman" w:eastAsia="Times New Roman" w:hAnsi="Times New Roman" w:cs="Times New Roman"/>
          <w:bCs/>
          <w:sz w:val="24"/>
          <w:lang w:eastAsia="lv-LV"/>
        </w:rPr>
        <w:t>psekojumā, k</w:t>
      </w:r>
      <w:r w:rsidR="00AA2506" w:rsidRPr="00046FC6">
        <w:rPr>
          <w:rFonts w:ascii="Times New Roman" w:eastAsia="Times New Roman" w:hAnsi="Times New Roman" w:cs="Times New Roman"/>
          <w:bCs/>
          <w:sz w:val="24"/>
          <w:lang w:eastAsia="lv-LV"/>
        </w:rPr>
        <w:t>as</w:t>
      </w:r>
      <w:r w:rsidRPr="00046FC6">
        <w:rPr>
          <w:rFonts w:ascii="Times New Roman" w:eastAsia="Times New Roman" w:hAnsi="Times New Roman" w:cs="Times New Roman"/>
          <w:bCs/>
          <w:sz w:val="24"/>
          <w:lang w:eastAsia="lv-LV"/>
        </w:rPr>
        <w:t xml:space="preserve">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gada martā </w:t>
      </w:r>
      <w:r w:rsidR="00AA2506" w:rsidRPr="00046FC6">
        <w:rPr>
          <w:rFonts w:ascii="Times New Roman" w:eastAsia="Times New Roman" w:hAnsi="Times New Roman" w:cs="Times New Roman"/>
          <w:bCs/>
          <w:sz w:val="24"/>
          <w:lang w:eastAsia="lv-LV"/>
        </w:rPr>
        <w:t xml:space="preserve">tika </w:t>
      </w:r>
      <w:r w:rsidRPr="00046FC6">
        <w:rPr>
          <w:rFonts w:ascii="Times New Roman" w:eastAsia="Times New Roman" w:hAnsi="Times New Roman" w:cs="Times New Roman"/>
          <w:bCs/>
          <w:sz w:val="24"/>
          <w:lang w:eastAsia="lv-LV"/>
        </w:rPr>
        <w:t>vei</w:t>
      </w:r>
      <w:r w:rsidR="00AA2506" w:rsidRPr="00046FC6">
        <w:rPr>
          <w:rFonts w:ascii="Times New Roman" w:eastAsia="Times New Roman" w:hAnsi="Times New Roman" w:cs="Times New Roman"/>
          <w:bCs/>
          <w:sz w:val="24"/>
          <w:lang w:eastAsia="lv-LV"/>
        </w:rPr>
        <w:t>kts</w:t>
      </w:r>
      <w:r w:rsidRPr="00046FC6">
        <w:rPr>
          <w:rFonts w:ascii="Times New Roman" w:eastAsia="Times New Roman" w:hAnsi="Times New Roman" w:cs="Times New Roman"/>
          <w:bCs/>
          <w:sz w:val="24"/>
          <w:lang w:eastAsia="lv-LV"/>
        </w:rPr>
        <w:t xml:space="preserve"> IT-CONSOB uzdevumā un kas attiecās uz piecām līgumu par starpību produktu sniedzēju Itālijas filiālēm, tika konstatēts, ka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privāto klientu zaudējumi sasniedza 83</w:t>
      </w:r>
      <w:r w:rsidR="00AA2506"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un vidējie zaudējumi uz vienu klientu bija aptuveni 7000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Pr="00046FC6">
        <w:rPr>
          <w:rFonts w:ascii="Times New Roman" w:eastAsia="Times New Roman" w:hAnsi="Times New Roman" w:cs="Times New Roman"/>
          <w:bCs/>
          <w:sz w:val="24"/>
          <w:lang w:eastAsia="lv-LV"/>
        </w:rPr>
        <w:t>;</w:t>
      </w:r>
    </w:p>
    <w:p w14:paraId="3865F3C0" w14:textId="0C8FA155"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PL-KNF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gada </w:t>
      </w:r>
      <w:r w:rsidR="00AA2506" w:rsidRPr="00046FC6">
        <w:rPr>
          <w:rFonts w:ascii="Times New Roman" w:eastAsia="Times New Roman" w:hAnsi="Times New Roman" w:cs="Times New Roman"/>
          <w:bCs/>
          <w:sz w:val="24"/>
          <w:lang w:eastAsia="lv-LV"/>
        </w:rPr>
        <w:t>1. </w:t>
      </w:r>
      <w:r w:rsidRPr="00046FC6">
        <w:rPr>
          <w:rFonts w:ascii="Times New Roman" w:eastAsia="Times New Roman" w:hAnsi="Times New Roman" w:cs="Times New Roman"/>
          <w:bCs/>
          <w:sz w:val="24"/>
          <w:lang w:eastAsia="lv-LV"/>
        </w:rPr>
        <w:t>ceturksnī veica pētījumu, pamatojoties uz datiem, ko sniedza 10</w:t>
      </w:r>
      <w:r w:rsidR="00AA2506"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ieguldījumu sabiedrības, k</w:t>
      </w:r>
      <w:r w:rsidR="00AA2506" w:rsidRPr="00046FC6">
        <w:rPr>
          <w:rFonts w:ascii="Times New Roman" w:eastAsia="Times New Roman" w:hAnsi="Times New Roman" w:cs="Times New Roman"/>
          <w:bCs/>
          <w:sz w:val="24"/>
          <w:lang w:eastAsia="lv-LV"/>
        </w:rPr>
        <w:t>ur</w:t>
      </w:r>
      <w:r w:rsidRPr="00046FC6">
        <w:rPr>
          <w:rFonts w:ascii="Times New Roman" w:eastAsia="Times New Roman" w:hAnsi="Times New Roman" w:cs="Times New Roman"/>
          <w:bCs/>
          <w:sz w:val="24"/>
          <w:lang w:eastAsia="lv-LV"/>
        </w:rPr>
        <w:t>as piedāvā līgumus par starpību (pamatojoties uz 130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399</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klientu kontiem, no kuriem 38</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691 bija aktīv</w:t>
      </w:r>
      <w:r w:rsidR="00AA2506" w:rsidRPr="00046FC6">
        <w:rPr>
          <w:rFonts w:ascii="Times New Roman" w:eastAsia="Times New Roman" w:hAnsi="Times New Roman" w:cs="Times New Roman"/>
          <w:bCs/>
          <w:sz w:val="24"/>
          <w:lang w:eastAsia="lv-LV"/>
        </w:rPr>
        <w:t>s</w:t>
      </w:r>
      <w:r w:rsidRPr="00046FC6">
        <w:rPr>
          <w:rFonts w:ascii="Times New Roman" w:eastAsia="Times New Roman" w:hAnsi="Times New Roman" w:cs="Times New Roman"/>
          <w:bCs/>
          <w:sz w:val="24"/>
          <w:lang w:eastAsia="lv-LV"/>
        </w:rPr>
        <w:t xml:space="preserve"> kont</w:t>
      </w:r>
      <w:r w:rsidR="00AA2506" w:rsidRPr="00046FC6">
        <w:rPr>
          <w:rFonts w:ascii="Times New Roman" w:eastAsia="Times New Roman" w:hAnsi="Times New Roman" w:cs="Times New Roman"/>
          <w:bCs/>
          <w:sz w:val="24"/>
          <w:lang w:eastAsia="lv-LV"/>
        </w:rPr>
        <w:t>s</w:t>
      </w:r>
      <w:r w:rsidRPr="00046FC6">
        <w:rPr>
          <w:rFonts w:ascii="Times New Roman" w:eastAsia="Times New Roman" w:hAnsi="Times New Roman" w:cs="Times New Roman"/>
          <w:bCs/>
          <w:sz w:val="24"/>
          <w:lang w:eastAsia="lv-LV"/>
        </w:rPr>
        <w:t>), un šajā pētījumā tika secināts, ka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79</w:t>
      </w:r>
      <w:r w:rsidR="00A61159" w:rsidRPr="00046FC6">
        <w:rPr>
          <w:rFonts w:ascii="Times New Roman" w:eastAsia="Times New Roman" w:hAnsi="Times New Roman" w:cs="Times New Roman"/>
          <w:bCs/>
          <w:sz w:val="24"/>
          <w:lang w:eastAsia="lv-LV"/>
        </w:rPr>
        <w:t>.</w:t>
      </w:r>
      <w:r w:rsidRPr="00046FC6">
        <w:rPr>
          <w:rFonts w:ascii="Times New Roman" w:eastAsia="Times New Roman" w:hAnsi="Times New Roman" w:cs="Times New Roman"/>
          <w:bCs/>
          <w:sz w:val="24"/>
          <w:lang w:eastAsia="lv-LV"/>
        </w:rPr>
        <w:t>28</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klientu bija zaudējuši naudu. Zaudējumu uz vienu klientu vidējais rādītājs bija 10</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060</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PLN. Turklāt līdzīgs pētījums, k</w:t>
      </w:r>
      <w:r w:rsidR="00AA2506" w:rsidRPr="00046FC6">
        <w:rPr>
          <w:rFonts w:ascii="Times New Roman" w:eastAsia="Times New Roman" w:hAnsi="Times New Roman" w:cs="Times New Roman"/>
          <w:bCs/>
          <w:sz w:val="24"/>
          <w:lang w:eastAsia="lv-LV"/>
        </w:rPr>
        <w:t>uru</w:t>
      </w:r>
      <w:r w:rsidRPr="00046FC6">
        <w:rPr>
          <w:rFonts w:ascii="Times New Roman" w:eastAsia="Times New Roman" w:hAnsi="Times New Roman" w:cs="Times New Roman"/>
          <w:bCs/>
          <w:sz w:val="24"/>
          <w:lang w:eastAsia="lv-LV"/>
        </w:rPr>
        <w:t xml:space="preserve"> PL-KNF veica 2018.</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gada </w:t>
      </w:r>
      <w:r w:rsidR="00AA2506" w:rsidRPr="00046FC6">
        <w:rPr>
          <w:rFonts w:ascii="Times New Roman" w:eastAsia="Times New Roman" w:hAnsi="Times New Roman" w:cs="Times New Roman"/>
          <w:bCs/>
          <w:sz w:val="24"/>
          <w:lang w:eastAsia="lv-LV"/>
        </w:rPr>
        <w:t>1. </w:t>
      </w:r>
      <w:r w:rsidRPr="00046FC6">
        <w:rPr>
          <w:rFonts w:ascii="Times New Roman" w:eastAsia="Times New Roman" w:hAnsi="Times New Roman" w:cs="Times New Roman"/>
          <w:bCs/>
          <w:sz w:val="24"/>
          <w:lang w:eastAsia="lv-LV"/>
        </w:rPr>
        <w:t>ceturksnī un kura pamatā bija dati, ko sniedza septiņas ieguldījumu sabiedrības, k</w:t>
      </w:r>
      <w:r w:rsidR="00AA2506" w:rsidRPr="00046FC6">
        <w:rPr>
          <w:rFonts w:ascii="Times New Roman" w:eastAsia="Times New Roman" w:hAnsi="Times New Roman" w:cs="Times New Roman"/>
          <w:bCs/>
          <w:sz w:val="24"/>
          <w:lang w:eastAsia="lv-LV"/>
        </w:rPr>
        <w:t>ur</w:t>
      </w:r>
      <w:r w:rsidRPr="00046FC6">
        <w:rPr>
          <w:rFonts w:ascii="Times New Roman" w:eastAsia="Times New Roman" w:hAnsi="Times New Roman" w:cs="Times New Roman"/>
          <w:bCs/>
          <w:sz w:val="24"/>
          <w:lang w:eastAsia="lv-LV"/>
        </w:rPr>
        <w:t>as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Polijā bija piedāvājušas līgumu</w:t>
      </w:r>
      <w:r w:rsidR="00FF4220" w:rsidRPr="00046FC6">
        <w:rPr>
          <w:rFonts w:ascii="Times New Roman" w:eastAsia="Times New Roman" w:hAnsi="Times New Roman" w:cs="Times New Roman"/>
          <w:bCs/>
          <w:sz w:val="24"/>
          <w:lang w:eastAsia="lv-LV"/>
        </w:rPr>
        <w:t>s</w:t>
      </w:r>
      <w:r w:rsidRPr="00046FC6">
        <w:rPr>
          <w:rFonts w:ascii="Times New Roman" w:eastAsia="Times New Roman" w:hAnsi="Times New Roman" w:cs="Times New Roman"/>
          <w:bCs/>
          <w:sz w:val="24"/>
          <w:lang w:eastAsia="lv-LV"/>
        </w:rPr>
        <w:t xml:space="preserve"> par starpību (177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883</w:t>
      </w:r>
      <w:r w:rsidR="00FF4220"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klientu konti, no kuriem 40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209 bija aktīvie konti), parādīja, ka 79</w:t>
      </w:r>
      <w:r w:rsidR="00A61159" w:rsidRPr="00046FC6">
        <w:rPr>
          <w:rFonts w:ascii="Times New Roman" w:eastAsia="Times New Roman" w:hAnsi="Times New Roman" w:cs="Times New Roman"/>
          <w:bCs/>
          <w:sz w:val="24"/>
          <w:lang w:eastAsia="lv-LV"/>
        </w:rPr>
        <w:t>.</w:t>
      </w:r>
      <w:r w:rsidRPr="00046FC6">
        <w:rPr>
          <w:rFonts w:ascii="Times New Roman" w:eastAsia="Times New Roman" w:hAnsi="Times New Roman" w:cs="Times New Roman"/>
          <w:bCs/>
          <w:sz w:val="24"/>
          <w:lang w:eastAsia="lv-LV"/>
        </w:rPr>
        <w:t>69</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klientu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bija zaudējuši naudu.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zaudējumu uz vienu klientu vidējais rādītājs bija 12</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156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PLN. Aktīvo klient</w:t>
      </w:r>
      <w:r w:rsidR="00A87784" w:rsidRPr="00046FC6">
        <w:rPr>
          <w:rFonts w:ascii="Times New Roman" w:eastAsia="Times New Roman" w:hAnsi="Times New Roman" w:cs="Times New Roman"/>
          <w:bCs/>
          <w:sz w:val="24"/>
          <w:lang w:eastAsia="lv-LV"/>
        </w:rPr>
        <w:t>u</w:t>
      </w:r>
      <w:r w:rsidRPr="00046FC6">
        <w:rPr>
          <w:rFonts w:ascii="Times New Roman" w:eastAsia="Times New Roman" w:hAnsi="Times New Roman" w:cs="Times New Roman"/>
          <w:bCs/>
          <w:sz w:val="24"/>
          <w:lang w:eastAsia="lv-LV"/>
        </w:rPr>
        <w:t>, kuri zaudējuši naudu, procentuālā daļa sasniedza 81</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2012.</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81</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2013.</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80</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2014.</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82</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2015.</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79</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un 80</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w:t>
      </w:r>
    </w:p>
    <w:p w14:paraId="7E551749" w14:textId="27EE7CD5" w:rsidR="00843A49" w:rsidRPr="00046FC6" w:rsidRDefault="00AA2506" w:rsidP="00FF4220">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s</w:t>
      </w:r>
      <w:r w:rsidR="00843A49" w:rsidRPr="00046FC6">
        <w:rPr>
          <w:rFonts w:ascii="Times New Roman" w:eastAsia="Times New Roman" w:hAnsi="Times New Roman" w:cs="Times New Roman"/>
          <w:bCs/>
          <w:sz w:val="24"/>
          <w:lang w:eastAsia="lv-LV"/>
        </w:rPr>
        <w:t xml:space="preserve">askaņā ar Luksemburgas </w:t>
      </w:r>
      <w:r w:rsidR="00FF4220" w:rsidRPr="00046FC6">
        <w:rPr>
          <w:rFonts w:ascii="Times New Roman" w:eastAsia="Times New Roman" w:hAnsi="Times New Roman" w:cs="Times New Roman"/>
          <w:bCs/>
          <w:sz w:val="24"/>
          <w:lang w:eastAsia="lv-LV"/>
        </w:rPr>
        <w:t>Finanšu sektora uzraudzības komisijas</w:t>
      </w:r>
      <w:r w:rsidR="00843A49" w:rsidRPr="00046FC6">
        <w:rPr>
          <w:rFonts w:ascii="Times New Roman" w:eastAsia="Times New Roman" w:hAnsi="Times New Roman" w:cs="Times New Roman"/>
          <w:bCs/>
          <w:sz w:val="24"/>
          <w:lang w:eastAsia="lv-LV"/>
        </w:rPr>
        <w:t xml:space="preserve"> (</w:t>
      </w:r>
      <w:r w:rsidR="00FF4220" w:rsidRPr="00046FC6">
        <w:rPr>
          <w:rFonts w:ascii="Times New Roman" w:eastAsia="Times New Roman" w:hAnsi="Times New Roman" w:cs="Times New Roman"/>
          <w:bCs/>
          <w:sz w:val="24"/>
          <w:lang w:eastAsia="lv-LV"/>
        </w:rPr>
        <w:t xml:space="preserve">turpmāk – </w:t>
      </w:r>
      <w:r w:rsidR="00843A49" w:rsidRPr="00046FC6">
        <w:rPr>
          <w:rFonts w:ascii="Times New Roman" w:eastAsia="Times New Roman" w:hAnsi="Times New Roman" w:cs="Times New Roman"/>
          <w:bCs/>
          <w:sz w:val="24"/>
          <w:lang w:eastAsia="lv-LV"/>
        </w:rPr>
        <w:t>LU-CSSF) veikto pētījumu 2017.</w:t>
      </w:r>
      <w:r w:rsidR="00A87784" w:rsidRPr="00046FC6">
        <w:rPr>
          <w:rFonts w:ascii="Times New Roman" w:eastAsia="Times New Roman" w:hAnsi="Times New Roman" w:cs="Times New Roman"/>
          <w:bCs/>
          <w:sz w:val="24"/>
          <w:lang w:eastAsia="lv-LV"/>
        </w:rPr>
        <w:t> </w:t>
      </w:r>
      <w:r w:rsidR="00843A49" w:rsidRPr="00046FC6">
        <w:rPr>
          <w:rFonts w:ascii="Times New Roman" w:eastAsia="Times New Roman" w:hAnsi="Times New Roman" w:cs="Times New Roman"/>
          <w:bCs/>
          <w:sz w:val="24"/>
          <w:lang w:eastAsia="lv-LV"/>
        </w:rPr>
        <w:t xml:space="preserve">gada septembrī tika konstatēts, ka diviem LU-CSSF atļauju saņēmušiem produktu sniedzējiem, kas piedāvā līgumus par starpību, vidējie zaudējumi uz vienu privāto klientu </w:t>
      </w:r>
      <w:r w:rsidR="0027493A" w:rsidRPr="00046FC6">
        <w:rPr>
          <w:rFonts w:ascii="Times New Roman" w:eastAsia="Times New Roman" w:hAnsi="Times New Roman" w:cs="Times New Roman"/>
          <w:bCs/>
          <w:sz w:val="24"/>
          <w:lang w:eastAsia="lv-LV"/>
        </w:rPr>
        <w:t>bija</w:t>
      </w:r>
      <w:r w:rsidR="00843A49" w:rsidRPr="00046FC6">
        <w:rPr>
          <w:rFonts w:ascii="Times New Roman" w:eastAsia="Times New Roman" w:hAnsi="Times New Roman" w:cs="Times New Roman"/>
          <w:bCs/>
          <w:sz w:val="24"/>
          <w:lang w:eastAsia="lv-LV"/>
        </w:rPr>
        <w:t xml:space="preserve"> attiecīgi 4500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843A49" w:rsidRPr="00046FC6">
        <w:rPr>
          <w:rFonts w:ascii="Times New Roman" w:eastAsia="Times New Roman" w:hAnsi="Times New Roman" w:cs="Times New Roman"/>
          <w:bCs/>
          <w:sz w:val="24"/>
          <w:lang w:eastAsia="lv-LV"/>
        </w:rPr>
        <w:t xml:space="preserve"> un 1700</w:t>
      </w:r>
      <w:r w:rsidR="00A87784"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843A49" w:rsidRPr="00046FC6">
        <w:rPr>
          <w:rFonts w:ascii="Times New Roman" w:eastAsia="Times New Roman" w:hAnsi="Times New Roman" w:cs="Times New Roman"/>
          <w:bCs/>
          <w:sz w:val="24"/>
          <w:lang w:eastAsia="lv-LV"/>
        </w:rPr>
        <w:t>;</w:t>
      </w:r>
    </w:p>
    <w:p w14:paraId="2BA990F0" w14:textId="7DFE20A2"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UK-FCA 2014.</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gadā veiktā analīze, kurā bez konsultēšanās tika atlasīti </w:t>
      </w:r>
      <w:r w:rsidR="00AA2506" w:rsidRPr="00046FC6">
        <w:rPr>
          <w:rFonts w:ascii="Times New Roman" w:eastAsia="Times New Roman" w:hAnsi="Times New Roman" w:cs="Times New Roman"/>
          <w:bCs/>
          <w:sz w:val="24"/>
          <w:lang w:eastAsia="lv-LV"/>
        </w:rPr>
        <w:t>astoņu</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līgumu par starpību </w:t>
      </w:r>
      <w:r w:rsidR="00AA2506" w:rsidRPr="00046FC6">
        <w:rPr>
          <w:rFonts w:ascii="Times New Roman" w:eastAsia="Times New Roman" w:hAnsi="Times New Roman" w:cs="Times New Roman"/>
          <w:bCs/>
          <w:sz w:val="24"/>
          <w:lang w:eastAsia="lv-LV"/>
        </w:rPr>
        <w:t xml:space="preserve">pakalpojumu </w:t>
      </w:r>
      <w:r w:rsidRPr="00046FC6">
        <w:rPr>
          <w:rFonts w:ascii="Times New Roman" w:eastAsia="Times New Roman" w:hAnsi="Times New Roman" w:cs="Times New Roman"/>
          <w:bCs/>
          <w:sz w:val="24"/>
          <w:lang w:eastAsia="lv-LV"/>
        </w:rPr>
        <w:t>sniedzēju privāto klientu konti, parādīja, ka 82</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privāto klientu zaudēja naudu darījumos ar šiem produktiem un ka gada vidējais rezultāts bija zaudējumi 2200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GBP apmērā uz vienu privāto klientu. UK-FCA 2016.</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gada decembra apspriešanās procesā saņemtā informācija arī </w:t>
      </w:r>
      <w:r w:rsidR="00AA2506" w:rsidRPr="00046FC6">
        <w:rPr>
          <w:rFonts w:ascii="Times New Roman" w:eastAsia="Times New Roman" w:hAnsi="Times New Roman" w:cs="Times New Roman"/>
          <w:bCs/>
          <w:sz w:val="24"/>
          <w:lang w:eastAsia="lv-LV"/>
        </w:rPr>
        <w:t xml:space="preserve">apliecināja </w:t>
      </w:r>
      <w:r w:rsidRPr="00046FC6">
        <w:rPr>
          <w:rFonts w:ascii="Times New Roman" w:eastAsia="Times New Roman" w:hAnsi="Times New Roman" w:cs="Times New Roman"/>
          <w:bCs/>
          <w:sz w:val="24"/>
          <w:lang w:eastAsia="lv-LV"/>
        </w:rPr>
        <w:t>saistību starp augstāku sviras finansējuma līmeni un zaudējumu lielāku iespējamību un apmēru. UK-FCA 2016.–2017.</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veiktajā papildu pētījumā attiecībā uz līgumu par starpību konsultāciju un portfeļu pārvaldības pakalpojumiem vairāk nekā 12</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mēnešu periodā </w:t>
      </w:r>
      <w:r w:rsidR="00AA2506" w:rsidRPr="00046FC6">
        <w:rPr>
          <w:rFonts w:ascii="Times New Roman" w:eastAsia="Times New Roman" w:hAnsi="Times New Roman" w:cs="Times New Roman"/>
          <w:bCs/>
          <w:sz w:val="24"/>
          <w:lang w:eastAsia="lv-LV"/>
        </w:rPr>
        <w:t xml:space="preserve">tika </w:t>
      </w:r>
      <w:r w:rsidRPr="00046FC6">
        <w:rPr>
          <w:rFonts w:ascii="Times New Roman" w:eastAsia="Times New Roman" w:hAnsi="Times New Roman" w:cs="Times New Roman"/>
          <w:bCs/>
          <w:sz w:val="24"/>
          <w:lang w:eastAsia="lv-LV"/>
        </w:rPr>
        <w:t>konstatē</w:t>
      </w:r>
      <w:r w:rsidR="00AA2506" w:rsidRPr="00046FC6">
        <w:rPr>
          <w:rFonts w:ascii="Times New Roman" w:eastAsia="Times New Roman" w:hAnsi="Times New Roman" w:cs="Times New Roman"/>
          <w:bCs/>
          <w:sz w:val="24"/>
          <w:lang w:eastAsia="lv-LV"/>
        </w:rPr>
        <w:t>tas</w:t>
      </w:r>
      <w:r w:rsidRPr="00046FC6">
        <w:rPr>
          <w:rFonts w:ascii="Times New Roman" w:eastAsia="Times New Roman" w:hAnsi="Times New Roman" w:cs="Times New Roman"/>
          <w:bCs/>
          <w:sz w:val="24"/>
          <w:lang w:eastAsia="lv-LV"/>
        </w:rPr>
        <w:t xml:space="preserve"> turpmākas atsauksmes par privāto klientu darījumu vājiem rezultātiem. Pārskatā </w:t>
      </w:r>
      <w:r w:rsidR="0027493A" w:rsidRPr="00046FC6">
        <w:rPr>
          <w:rFonts w:ascii="Times New Roman" w:eastAsia="Times New Roman" w:hAnsi="Times New Roman" w:cs="Times New Roman"/>
          <w:bCs/>
          <w:sz w:val="24"/>
          <w:lang w:eastAsia="lv-LV"/>
        </w:rPr>
        <w:t xml:space="preserve">tika </w:t>
      </w:r>
      <w:r w:rsidRPr="00046FC6">
        <w:rPr>
          <w:rFonts w:ascii="Times New Roman" w:eastAsia="Times New Roman" w:hAnsi="Times New Roman" w:cs="Times New Roman"/>
          <w:bCs/>
          <w:sz w:val="24"/>
          <w:lang w:eastAsia="lv-LV"/>
        </w:rPr>
        <w:t>secināts, ka visās sabiedrībās, kuras piedāvā līgumu par starpību konsultāciju un portfeļu pārvaldības pakalpojumos, 76</w:t>
      </w:r>
      <w:r w:rsidR="00AA2506"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privāto klientu ir zaudējuši naudu un radīto zaudējumu vidējais apmērs bijis 9000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GBP. Pat tad, ja tika ņemti vērā privātie klienti, kuru darījumi bija rentabli, tipisks privātais klients, kas veicis ieguldījumus, izmantojot konsult</w:t>
      </w:r>
      <w:r w:rsidR="006933E2" w:rsidRPr="00046FC6">
        <w:rPr>
          <w:rFonts w:ascii="Times New Roman" w:eastAsia="Times New Roman" w:hAnsi="Times New Roman" w:cs="Times New Roman"/>
          <w:bCs/>
          <w:sz w:val="24"/>
          <w:lang w:eastAsia="lv-LV"/>
        </w:rPr>
        <w:t>āciju</w:t>
      </w:r>
      <w:r w:rsidRPr="00046FC6">
        <w:rPr>
          <w:rFonts w:ascii="Times New Roman" w:eastAsia="Times New Roman" w:hAnsi="Times New Roman" w:cs="Times New Roman"/>
          <w:bCs/>
          <w:sz w:val="24"/>
          <w:lang w:eastAsia="lv-LV"/>
        </w:rPr>
        <w:t xml:space="preserve"> vai portfeļu pārvaldības </w:t>
      </w:r>
      <w:r w:rsidR="006933E2" w:rsidRPr="00046FC6">
        <w:rPr>
          <w:rFonts w:ascii="Times New Roman" w:eastAsia="Times New Roman" w:hAnsi="Times New Roman" w:cs="Times New Roman"/>
          <w:bCs/>
          <w:sz w:val="24"/>
          <w:lang w:eastAsia="lv-LV"/>
        </w:rPr>
        <w:t xml:space="preserve">pakalpojuma ietvaros </w:t>
      </w:r>
      <w:r w:rsidRPr="00046FC6">
        <w:rPr>
          <w:rFonts w:ascii="Times New Roman" w:eastAsia="Times New Roman" w:hAnsi="Times New Roman" w:cs="Times New Roman"/>
          <w:bCs/>
          <w:sz w:val="24"/>
          <w:lang w:eastAsia="lv-LV"/>
        </w:rPr>
        <w:t>pārvaldītu kontu, vidēji bija zaudējis aptuveni 4100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GBP;</w:t>
      </w:r>
    </w:p>
    <w:p w14:paraId="2216BD28" w14:textId="1936D30D" w:rsidR="00843A49" w:rsidRPr="00046FC6" w:rsidRDefault="00843A49" w:rsidP="00423108">
      <w:pPr>
        <w:numPr>
          <w:ilvl w:val="0"/>
          <w:numId w:val="9"/>
        </w:numPr>
        <w:tabs>
          <w:tab w:val="decimal" w:pos="426"/>
        </w:tabs>
        <w:spacing w:after="120" w:line="240" w:lineRule="auto"/>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lang w:eastAsia="lv-LV"/>
        </w:rPr>
        <w:t xml:space="preserve">Portugāles </w:t>
      </w:r>
      <w:r w:rsidR="00FF4220" w:rsidRPr="00046FC6">
        <w:rPr>
          <w:rFonts w:ascii="Times New Roman" w:eastAsia="Times New Roman" w:hAnsi="Times New Roman" w:cs="Times New Roman"/>
          <w:bCs/>
          <w:sz w:val="24"/>
          <w:lang w:eastAsia="lv-LV"/>
        </w:rPr>
        <w:t xml:space="preserve">Vērtspapīru tirgus komisija </w:t>
      </w:r>
      <w:r w:rsidRPr="00046FC6">
        <w:rPr>
          <w:rFonts w:ascii="Times New Roman" w:eastAsia="Times New Roman" w:hAnsi="Times New Roman" w:cs="Times New Roman"/>
          <w:bCs/>
          <w:sz w:val="24"/>
          <w:lang w:eastAsia="lv-LV"/>
        </w:rPr>
        <w:t>konstatēja, ka uz ieguldītāju pozīcijas nosacīto vērtību 44</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700</w:t>
      </w:r>
      <w:r w:rsidR="00A87784"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milj</w:t>
      </w:r>
      <w:r w:rsidR="00A61159"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7E6E7B" w:rsidRPr="00046FC6">
        <w:rPr>
          <w:rFonts w:ascii="Times New Roman" w:eastAsia="Times New Roman" w:hAnsi="Times New Roman" w:cs="Times New Roman"/>
          <w:bCs/>
          <w:i/>
          <w:iCs/>
          <w:sz w:val="24"/>
          <w:lang w:eastAsia="lv-LV"/>
        </w:rPr>
        <w:t xml:space="preserve"> </w:t>
      </w:r>
      <w:r w:rsidRPr="00046FC6">
        <w:rPr>
          <w:rFonts w:ascii="Times New Roman" w:eastAsia="Times New Roman" w:hAnsi="Times New Roman" w:cs="Times New Roman"/>
          <w:bCs/>
          <w:sz w:val="24"/>
          <w:lang w:eastAsia="lv-LV"/>
        </w:rPr>
        <w:t>apmērā 2016.</w:t>
      </w:r>
      <w:r w:rsidR="007E6E7B"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 un 44</w:t>
      </w:r>
      <w:r w:rsidR="007E6E7B"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200</w:t>
      </w:r>
      <w:r w:rsidR="00A61159"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milj</w:t>
      </w:r>
      <w:r w:rsidR="00A61159"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7E6E7B" w:rsidRPr="00046FC6">
        <w:rPr>
          <w:rFonts w:ascii="Times New Roman" w:eastAsia="Times New Roman" w:hAnsi="Times New Roman" w:cs="Times New Roman"/>
          <w:bCs/>
          <w:i/>
          <w:iCs/>
          <w:sz w:val="24"/>
          <w:lang w:eastAsia="lv-LV"/>
        </w:rPr>
        <w:t> </w:t>
      </w:r>
      <w:r w:rsidR="006D43CF" w:rsidRPr="00046FC6">
        <w:rPr>
          <w:rFonts w:ascii="Times New Roman" w:eastAsia="Times New Roman" w:hAnsi="Times New Roman" w:cs="Times New Roman"/>
          <w:bCs/>
          <w:sz w:val="24"/>
          <w:lang w:eastAsia="lv-LV"/>
        </w:rPr>
        <w:t xml:space="preserve">apmērā </w:t>
      </w:r>
      <w:r w:rsidRPr="00046FC6">
        <w:rPr>
          <w:rFonts w:ascii="Times New Roman" w:eastAsia="Times New Roman" w:hAnsi="Times New Roman" w:cs="Times New Roman"/>
          <w:bCs/>
          <w:sz w:val="24"/>
          <w:lang w:eastAsia="lv-LV"/>
        </w:rPr>
        <w:t>2017.</w:t>
      </w:r>
      <w:r w:rsidR="007E6E7B"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 xml:space="preserve">gadā </w:t>
      </w:r>
      <w:r w:rsidRPr="00046FC6">
        <w:rPr>
          <w:rFonts w:ascii="Times New Roman" w:eastAsia="Times New Roman" w:hAnsi="Times New Roman" w:cs="Times New Roman"/>
          <w:bCs/>
          <w:sz w:val="24"/>
          <w:lang w:eastAsia="lv-LV"/>
        </w:rPr>
        <w:lastRenderedPageBreak/>
        <w:t xml:space="preserve">saistītie zaudējumi privātajiem ieguldītājiem bija </w:t>
      </w:r>
      <w:r w:rsidR="00AA2506" w:rsidRPr="00046FC6">
        <w:rPr>
          <w:rFonts w:ascii="Times New Roman" w:eastAsia="Times New Roman" w:hAnsi="Times New Roman" w:cs="Times New Roman"/>
          <w:bCs/>
          <w:sz w:val="24"/>
          <w:lang w:eastAsia="lv-LV"/>
        </w:rPr>
        <w:t xml:space="preserve">attiecīgi </w:t>
      </w:r>
      <w:r w:rsidRPr="00046FC6">
        <w:rPr>
          <w:rFonts w:ascii="Times New Roman" w:eastAsia="Times New Roman" w:hAnsi="Times New Roman" w:cs="Times New Roman"/>
          <w:bCs/>
          <w:sz w:val="24"/>
          <w:lang w:eastAsia="lv-LV"/>
        </w:rPr>
        <w:t>66</w:t>
      </w:r>
      <w:r w:rsidR="00A61159" w:rsidRPr="00046FC6">
        <w:rPr>
          <w:rFonts w:ascii="Times New Roman" w:eastAsia="Times New Roman" w:hAnsi="Times New Roman" w:cs="Times New Roman"/>
          <w:bCs/>
          <w:sz w:val="24"/>
          <w:lang w:eastAsia="lv-LV"/>
        </w:rPr>
        <w:t>.</w:t>
      </w:r>
      <w:r w:rsidRPr="00046FC6">
        <w:rPr>
          <w:rFonts w:ascii="Times New Roman" w:eastAsia="Times New Roman" w:hAnsi="Times New Roman" w:cs="Times New Roman"/>
          <w:bCs/>
          <w:sz w:val="24"/>
          <w:lang w:eastAsia="lv-LV"/>
        </w:rPr>
        <w:t>8</w:t>
      </w:r>
      <w:r w:rsidR="007E6E7B"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milj</w:t>
      </w:r>
      <w:r w:rsidR="00A61159"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7E6E7B" w:rsidRPr="00046FC6">
        <w:rPr>
          <w:rFonts w:ascii="Times New Roman" w:eastAsia="Times New Roman" w:hAnsi="Times New Roman" w:cs="Times New Roman"/>
          <w:bCs/>
          <w:i/>
          <w:iCs/>
          <w:sz w:val="24"/>
          <w:lang w:eastAsia="lv-LV"/>
        </w:rPr>
        <w:t xml:space="preserve"> </w:t>
      </w:r>
      <w:r w:rsidR="00AA2506" w:rsidRPr="00046FC6">
        <w:rPr>
          <w:rFonts w:ascii="Times New Roman" w:eastAsia="Times New Roman" w:hAnsi="Times New Roman" w:cs="Times New Roman"/>
          <w:bCs/>
          <w:sz w:val="24"/>
          <w:lang w:eastAsia="lv-LV"/>
        </w:rPr>
        <w:t xml:space="preserve">2016. gadā </w:t>
      </w:r>
      <w:r w:rsidRPr="00046FC6">
        <w:rPr>
          <w:rFonts w:ascii="Times New Roman" w:eastAsia="Times New Roman" w:hAnsi="Times New Roman" w:cs="Times New Roman"/>
          <w:bCs/>
          <w:sz w:val="24"/>
          <w:lang w:eastAsia="lv-LV"/>
        </w:rPr>
        <w:t>un 47</w:t>
      </w:r>
      <w:r w:rsidR="00A61159" w:rsidRPr="00046FC6">
        <w:rPr>
          <w:rFonts w:ascii="Times New Roman" w:eastAsia="Times New Roman" w:hAnsi="Times New Roman" w:cs="Times New Roman"/>
          <w:bCs/>
          <w:sz w:val="24"/>
          <w:lang w:eastAsia="lv-LV"/>
        </w:rPr>
        <w:t>.</w:t>
      </w:r>
      <w:r w:rsidRPr="00046FC6">
        <w:rPr>
          <w:rFonts w:ascii="Times New Roman" w:eastAsia="Times New Roman" w:hAnsi="Times New Roman" w:cs="Times New Roman"/>
          <w:bCs/>
          <w:sz w:val="24"/>
          <w:lang w:eastAsia="lv-LV"/>
        </w:rPr>
        <w:t>7</w:t>
      </w:r>
      <w:r w:rsidR="007E6E7B"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milj</w:t>
      </w:r>
      <w:r w:rsidR="00A61159" w:rsidRPr="00046FC6">
        <w:rPr>
          <w:rFonts w:ascii="Times New Roman" w:eastAsia="Times New Roman" w:hAnsi="Times New Roman" w:cs="Times New Roman"/>
          <w:bCs/>
          <w:sz w:val="24"/>
          <w:lang w:eastAsia="lv-LV"/>
        </w:rPr>
        <w:t>. </w:t>
      </w:r>
      <w:r w:rsidR="00DE6BAB" w:rsidRPr="00046FC6">
        <w:rPr>
          <w:rFonts w:ascii="Times New Roman" w:eastAsia="Times New Roman" w:hAnsi="Times New Roman" w:cs="Times New Roman"/>
          <w:bCs/>
          <w:sz w:val="24"/>
          <w:lang w:eastAsia="lv-LV"/>
        </w:rPr>
        <w:t>EUR</w:t>
      </w:r>
      <w:r w:rsidR="007E6E7B" w:rsidRPr="00046FC6">
        <w:rPr>
          <w:rFonts w:ascii="Times New Roman" w:eastAsia="Times New Roman" w:hAnsi="Times New Roman" w:cs="Times New Roman"/>
          <w:bCs/>
          <w:i/>
          <w:iCs/>
          <w:sz w:val="24"/>
          <w:lang w:eastAsia="lv-LV"/>
        </w:rPr>
        <w:t xml:space="preserve"> </w:t>
      </w:r>
      <w:r w:rsidRPr="00046FC6">
        <w:rPr>
          <w:rFonts w:ascii="Times New Roman" w:eastAsia="Times New Roman" w:hAnsi="Times New Roman" w:cs="Times New Roman"/>
          <w:bCs/>
          <w:sz w:val="24"/>
          <w:lang w:eastAsia="lv-LV"/>
        </w:rPr>
        <w:t>2017.</w:t>
      </w:r>
      <w:r w:rsidR="007E6E7B" w:rsidRPr="00046FC6">
        <w:rPr>
          <w:rFonts w:ascii="Times New Roman" w:eastAsia="Times New Roman" w:hAnsi="Times New Roman" w:cs="Times New Roman"/>
          <w:bCs/>
          <w:sz w:val="24"/>
          <w:lang w:eastAsia="lv-LV"/>
        </w:rPr>
        <w:t> </w:t>
      </w:r>
      <w:r w:rsidRPr="00046FC6">
        <w:rPr>
          <w:rFonts w:ascii="Times New Roman" w:eastAsia="Times New Roman" w:hAnsi="Times New Roman" w:cs="Times New Roman"/>
          <w:bCs/>
          <w:sz w:val="24"/>
          <w:lang w:eastAsia="lv-LV"/>
        </w:rPr>
        <w:t>gadā.</w:t>
      </w:r>
    </w:p>
    <w:p w14:paraId="4B19A5B2" w14:textId="118C8F60"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lang w:eastAsia="lv-LV"/>
        </w:rPr>
      </w:pPr>
      <w:r w:rsidRPr="00046FC6">
        <w:rPr>
          <w:rFonts w:ascii="Times New Roman" w:eastAsia="Times New Roman" w:hAnsi="Times New Roman" w:cs="Times New Roman"/>
          <w:bCs/>
          <w:sz w:val="24"/>
          <w:szCs w:val="24"/>
          <w:lang w:eastAsia="lv-LV"/>
        </w:rPr>
        <w:t xml:space="preserve">Norvēģijas </w:t>
      </w:r>
      <w:r w:rsidR="00FF4220" w:rsidRPr="00046FC6">
        <w:rPr>
          <w:rFonts w:ascii="Times New Roman" w:eastAsia="Times New Roman" w:hAnsi="Times New Roman" w:cs="Times New Roman"/>
          <w:bCs/>
          <w:sz w:val="24"/>
          <w:szCs w:val="24"/>
          <w:lang w:eastAsia="lv-LV"/>
        </w:rPr>
        <w:t>Finanšu uzraudzības iestāde</w:t>
      </w:r>
      <w:r w:rsidR="00FF4220" w:rsidRPr="00046FC6">
        <w:rPr>
          <w:rFonts w:ascii="Times New Roman" w:eastAsia="Times New Roman" w:hAnsi="Times New Roman" w:cs="Times New Roman"/>
          <w:bCs/>
          <w:i/>
          <w:iCs/>
          <w:sz w:val="24"/>
          <w:szCs w:val="24"/>
          <w:lang w:eastAsia="lv-LV"/>
        </w:rPr>
        <w:t xml:space="preserve"> </w:t>
      </w:r>
      <w:r w:rsidRPr="00046FC6">
        <w:rPr>
          <w:rFonts w:ascii="Times New Roman" w:eastAsia="Times New Roman" w:hAnsi="Times New Roman" w:cs="Times New Roman"/>
          <w:bCs/>
          <w:sz w:val="24"/>
          <w:szCs w:val="24"/>
          <w:lang w:eastAsia="lv-LV"/>
        </w:rPr>
        <w:t xml:space="preserve">bija veikusi pētījumu par </w:t>
      </w:r>
      <w:r w:rsidR="00AA2506" w:rsidRPr="00046FC6">
        <w:rPr>
          <w:rFonts w:ascii="Times New Roman" w:eastAsia="Times New Roman" w:hAnsi="Times New Roman" w:cs="Times New Roman"/>
          <w:bCs/>
          <w:sz w:val="24"/>
          <w:szCs w:val="24"/>
          <w:lang w:eastAsia="lv-LV"/>
        </w:rPr>
        <w:t>sešu</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lang w:eastAsia="lv-LV"/>
        </w:rPr>
        <w:t xml:space="preserve">līgumu par starpību </w:t>
      </w:r>
      <w:r w:rsidR="00812C29" w:rsidRPr="00046FC6">
        <w:rPr>
          <w:rFonts w:ascii="Times New Roman" w:eastAsia="Times New Roman" w:hAnsi="Times New Roman" w:cs="Times New Roman"/>
          <w:bCs/>
          <w:sz w:val="24"/>
          <w:lang w:eastAsia="lv-LV"/>
        </w:rPr>
        <w:t xml:space="preserve">pakalpojumu </w:t>
      </w:r>
      <w:r w:rsidRPr="00046FC6">
        <w:rPr>
          <w:rFonts w:ascii="Times New Roman" w:eastAsia="Times New Roman" w:hAnsi="Times New Roman" w:cs="Times New Roman"/>
          <w:bCs/>
          <w:sz w:val="24"/>
          <w:szCs w:val="24"/>
          <w:lang w:eastAsia="lv-LV"/>
        </w:rPr>
        <w:t>sniedzēju klientu tirdzniecības darījumu rezultātiem 2016.</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gadā. Pētījumā bija iekļauti aptuveni 1000</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privāto klientu, kuri veica tirdzniecību ar </w:t>
      </w:r>
      <w:r w:rsidRPr="00046FC6">
        <w:rPr>
          <w:rFonts w:ascii="Times New Roman" w:eastAsia="Times New Roman" w:hAnsi="Times New Roman" w:cs="Times New Roman"/>
          <w:bCs/>
          <w:sz w:val="24"/>
          <w:lang w:eastAsia="lv-LV"/>
        </w:rPr>
        <w:t xml:space="preserve">līgumiem par starpību </w:t>
      </w:r>
      <w:r w:rsidRPr="00046FC6">
        <w:rPr>
          <w:rFonts w:ascii="Times New Roman" w:eastAsia="Times New Roman" w:hAnsi="Times New Roman" w:cs="Times New Roman"/>
          <w:bCs/>
          <w:sz w:val="24"/>
          <w:szCs w:val="24"/>
          <w:lang w:eastAsia="lv-LV"/>
        </w:rPr>
        <w:t>no viena līdz diviem gadiem, sākot ar 2014.</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janvāri un beidzot ar posmu no 2014.</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decembra līdz 2015.</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decembrim (tirdzniecības periods vidēji bija 1</w:t>
      </w:r>
      <w:r w:rsidR="009E7F1C"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5</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w:t>
      </w:r>
      <w:r w:rsidR="00812C29"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Pētījumā tika secināts, ka 82</w:t>
      </w:r>
      <w:r w:rsidR="009E7F1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š</w:t>
      </w:r>
      <w:r w:rsidR="00812C29"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 klient</w:t>
      </w:r>
      <w:r w:rsidR="00812C29"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zaudēja naudu, un vidējie zaudējumi uz vienu klientu bija 29</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000</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EUR. Darījuma izmaksu vidējais rādītājs, salīdzinot ar klienta kapitālu, bija 37</w:t>
      </w:r>
      <w:r w:rsidR="009E7F1C"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(augsta sviras finansējuma līmeņa un biežu tirdzniecības darījumu dēļ).</w:t>
      </w:r>
      <w:r w:rsidRPr="00046FC6">
        <w:rPr>
          <w:rFonts w:ascii="Times New Roman" w:eastAsia="Times New Roman" w:hAnsi="Times New Roman" w:cs="Times New Roman"/>
          <w:bCs/>
          <w:sz w:val="24"/>
          <w:szCs w:val="24"/>
          <w:vertAlign w:val="superscript"/>
          <w:lang w:eastAsia="lv-LV"/>
        </w:rPr>
        <w:footnoteReference w:id="54"/>
      </w:r>
      <w:r w:rsidRPr="00046FC6">
        <w:rPr>
          <w:rFonts w:ascii="Times New Roman" w:eastAsia="Times New Roman" w:hAnsi="Times New Roman" w:cs="Times New Roman"/>
          <w:bCs/>
          <w:sz w:val="24"/>
          <w:szCs w:val="24"/>
          <w:lang w:eastAsia="lv-LV"/>
        </w:rPr>
        <w:t xml:space="preserve"> </w:t>
      </w:r>
    </w:p>
    <w:p w14:paraId="5761C0E3" w14:textId="2CE52ACA"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atzīmē, ka privāto klientu vidējie zaudējumi </w:t>
      </w:r>
      <w:r w:rsidRPr="00046FC6">
        <w:rPr>
          <w:rFonts w:ascii="Times New Roman" w:eastAsia="Times New Roman" w:hAnsi="Times New Roman" w:cs="Times New Roman"/>
          <w:bCs/>
          <w:sz w:val="24"/>
          <w:lang w:eastAsia="lv-LV"/>
        </w:rPr>
        <w:t xml:space="preserve">līgumos par starpību </w:t>
      </w:r>
      <w:r w:rsidR="00812C29" w:rsidRPr="00046FC6">
        <w:rPr>
          <w:rFonts w:ascii="Times New Roman" w:eastAsia="Times New Roman" w:hAnsi="Times New Roman" w:cs="Times New Roman"/>
          <w:bCs/>
          <w:sz w:val="24"/>
          <w:lang w:eastAsia="lv-LV"/>
        </w:rPr>
        <w:t xml:space="preserve">dažādā </w:t>
      </w:r>
      <w:r w:rsidRPr="00046FC6">
        <w:rPr>
          <w:rFonts w:ascii="Times New Roman" w:eastAsia="Times New Roman" w:hAnsi="Times New Roman" w:cs="Times New Roman"/>
          <w:bCs/>
          <w:sz w:val="24"/>
          <w:szCs w:val="24"/>
          <w:lang w:eastAsia="lv-LV"/>
        </w:rPr>
        <w:t xml:space="preserve">laikā un dažādās valstīs pastāvīgi palielinājās līdz sākotnējā EVTI finanšu līgumu par starpību intervences lēmuma pieņemšanai, neraugoties uz privāto klientu pozitīvo peļņu no citiem finanšu produktiem daudzos attiecīgajos gados. To privāto klientu procentuālā daļa, kuri </w:t>
      </w:r>
      <w:r w:rsidR="0027493A" w:rsidRPr="00046FC6">
        <w:rPr>
          <w:rFonts w:ascii="Times New Roman" w:eastAsia="Times New Roman" w:hAnsi="Times New Roman" w:cs="Times New Roman"/>
          <w:bCs/>
          <w:sz w:val="24"/>
          <w:szCs w:val="24"/>
          <w:lang w:eastAsia="lv-LV"/>
        </w:rPr>
        <w:t xml:space="preserve">atbilstoši šā pielikuma 20. apsvēruma c) punktā minētajam FR-AMF pētījumam </w:t>
      </w:r>
      <w:r w:rsidRPr="00046FC6">
        <w:rPr>
          <w:rFonts w:ascii="Times New Roman" w:eastAsia="Times New Roman" w:hAnsi="Times New Roman" w:cs="Times New Roman"/>
          <w:bCs/>
          <w:sz w:val="24"/>
          <w:szCs w:val="24"/>
          <w:lang w:eastAsia="lv-LV"/>
        </w:rPr>
        <w:t>zaudē</w:t>
      </w:r>
      <w:r w:rsidR="0027493A" w:rsidRPr="00046FC6">
        <w:rPr>
          <w:rFonts w:ascii="Times New Roman" w:eastAsia="Times New Roman" w:hAnsi="Times New Roman" w:cs="Times New Roman"/>
          <w:bCs/>
          <w:sz w:val="24"/>
          <w:szCs w:val="24"/>
          <w:lang w:eastAsia="lv-LV"/>
        </w:rPr>
        <w:t>ja</w:t>
      </w:r>
      <w:r w:rsidRPr="00046FC6">
        <w:rPr>
          <w:rFonts w:ascii="Times New Roman" w:eastAsia="Times New Roman" w:hAnsi="Times New Roman" w:cs="Times New Roman"/>
          <w:bCs/>
          <w:sz w:val="24"/>
          <w:szCs w:val="24"/>
          <w:lang w:eastAsia="lv-LV"/>
        </w:rPr>
        <w:t xml:space="preserve"> naudu katru gadu no 2009. līdz 2013.</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gadam, ir ļoti konsekventa, neraugoties uz to, ka, piemēram, akciju tirg</w:t>
      </w:r>
      <w:r w:rsidR="00812C29" w:rsidRPr="00046FC6">
        <w:rPr>
          <w:rFonts w:ascii="Times New Roman" w:eastAsia="Times New Roman" w:hAnsi="Times New Roman" w:cs="Times New Roman"/>
          <w:bCs/>
          <w:sz w:val="24"/>
          <w:szCs w:val="24"/>
          <w:lang w:eastAsia="lv-LV"/>
        </w:rPr>
        <w:t>o</w:t>
      </w:r>
      <w:r w:rsidRPr="00046FC6">
        <w:rPr>
          <w:rFonts w:ascii="Times New Roman" w:eastAsia="Times New Roman" w:hAnsi="Times New Roman" w:cs="Times New Roman"/>
          <w:bCs/>
          <w:sz w:val="24"/>
          <w:szCs w:val="24"/>
          <w:lang w:eastAsia="lv-LV"/>
        </w:rPr>
        <w:t xml:space="preserve">s un preču indeksos gada ienesīgums ir atšķirīgs. Latvijas Bankas </w:t>
      </w:r>
      <w:r w:rsidR="00674A60" w:rsidRPr="00046FC6">
        <w:rPr>
          <w:rFonts w:ascii="Times New Roman" w:eastAsia="Times New Roman" w:hAnsi="Times New Roman" w:cs="Times New Roman"/>
          <w:bCs/>
          <w:sz w:val="24"/>
          <w:szCs w:val="24"/>
          <w:lang w:eastAsia="lv-LV"/>
        </w:rPr>
        <w:t xml:space="preserve">apkopotie </w:t>
      </w:r>
      <w:r w:rsidRPr="00046FC6">
        <w:rPr>
          <w:rFonts w:ascii="Times New Roman" w:eastAsia="Times New Roman" w:hAnsi="Times New Roman" w:cs="Times New Roman"/>
          <w:bCs/>
          <w:sz w:val="24"/>
          <w:szCs w:val="24"/>
          <w:lang w:eastAsia="lv-LV"/>
        </w:rPr>
        <w:t xml:space="preserve">pierādījumi ir konsekventi arī attiecībā uz </w:t>
      </w:r>
      <w:r w:rsidR="00812C29" w:rsidRPr="00046FC6">
        <w:rPr>
          <w:rFonts w:ascii="Times New Roman" w:eastAsia="Times New Roman" w:hAnsi="Times New Roman" w:cs="Times New Roman"/>
          <w:bCs/>
          <w:sz w:val="24"/>
          <w:szCs w:val="24"/>
          <w:lang w:eastAsia="lv-LV"/>
        </w:rPr>
        <w:t xml:space="preserve">to </w:t>
      </w:r>
      <w:r w:rsidRPr="00046FC6">
        <w:rPr>
          <w:rFonts w:ascii="Times New Roman" w:eastAsia="Times New Roman" w:hAnsi="Times New Roman" w:cs="Times New Roman"/>
          <w:bCs/>
          <w:sz w:val="24"/>
          <w:szCs w:val="24"/>
          <w:lang w:eastAsia="lv-LV"/>
        </w:rPr>
        <w:t xml:space="preserve">privāto klientu līmeni, kuri ir zaudējuši naudu </w:t>
      </w:r>
      <w:r w:rsidRPr="00046FC6">
        <w:rPr>
          <w:rFonts w:ascii="Times New Roman" w:eastAsia="Times New Roman" w:hAnsi="Times New Roman" w:cs="Times New Roman"/>
          <w:bCs/>
          <w:sz w:val="24"/>
          <w:lang w:eastAsia="lv-LV"/>
        </w:rPr>
        <w:t xml:space="preserve">līgumos par starpību </w:t>
      </w:r>
      <w:r w:rsidRPr="00046FC6">
        <w:rPr>
          <w:rFonts w:ascii="Times New Roman" w:eastAsia="Times New Roman" w:hAnsi="Times New Roman" w:cs="Times New Roman"/>
          <w:bCs/>
          <w:sz w:val="24"/>
          <w:szCs w:val="24"/>
          <w:lang w:eastAsia="lv-LV"/>
        </w:rPr>
        <w:t>(74</w:t>
      </w:r>
      <w:r w:rsidR="00812C29"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75</w:t>
      </w:r>
      <w:r w:rsidR="00812C29"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 Privāto klientu zaudējumu modeļa saglabāšanās </w:t>
      </w:r>
      <w:r w:rsidRPr="00046FC6">
        <w:rPr>
          <w:rFonts w:ascii="Times New Roman" w:eastAsia="Times New Roman" w:hAnsi="Times New Roman" w:cs="Times New Roman"/>
          <w:bCs/>
          <w:sz w:val="24"/>
          <w:lang w:eastAsia="lv-LV"/>
        </w:rPr>
        <w:t xml:space="preserve">līgumos par starpību </w:t>
      </w:r>
      <w:r w:rsidRPr="00046FC6">
        <w:rPr>
          <w:rFonts w:ascii="Times New Roman" w:eastAsia="Times New Roman" w:hAnsi="Times New Roman" w:cs="Times New Roman"/>
          <w:bCs/>
          <w:sz w:val="24"/>
          <w:szCs w:val="24"/>
          <w:lang w:eastAsia="lv-LV"/>
        </w:rPr>
        <w:t>norāda uz peļņas profila strukturālu iezīmi pretstatā pozitīvai vēsturisk</w:t>
      </w:r>
      <w:r w:rsidR="0027493A" w:rsidRPr="00046FC6">
        <w:rPr>
          <w:rFonts w:ascii="Times New Roman" w:eastAsia="Times New Roman" w:hAnsi="Times New Roman" w:cs="Times New Roman"/>
          <w:bCs/>
          <w:sz w:val="24"/>
          <w:szCs w:val="24"/>
          <w:lang w:eastAsia="lv-LV"/>
        </w:rPr>
        <w:t>aj</w:t>
      </w:r>
      <w:r w:rsidRPr="00046FC6">
        <w:rPr>
          <w:rFonts w:ascii="Times New Roman" w:eastAsia="Times New Roman" w:hAnsi="Times New Roman" w:cs="Times New Roman"/>
          <w:bCs/>
          <w:sz w:val="24"/>
          <w:szCs w:val="24"/>
          <w:lang w:eastAsia="lv-LV"/>
        </w:rPr>
        <w:t>ai atdevei no ilgtermiņa ieguldījumiem citos finanšu produktos, piemēram, kapitāla ieguldījumu fondos.</w:t>
      </w:r>
    </w:p>
    <w:p w14:paraId="792AEA21" w14:textId="6C81F549"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Iepriekš minētie pētījumi sniedz skaidru priekšstatu</w:t>
      </w:r>
      <w:r w:rsidR="0027493A" w:rsidRPr="00046FC6">
        <w:rPr>
          <w:rFonts w:ascii="Times New Roman" w:eastAsia="Times New Roman" w:hAnsi="Times New Roman" w:cs="Times New Roman"/>
          <w:bCs/>
          <w:sz w:val="24"/>
          <w:szCs w:val="24"/>
          <w:lang w:eastAsia="lv-LV"/>
        </w:rPr>
        <w:t>, ka pastāv</w:t>
      </w:r>
      <w:r w:rsidRPr="00046FC6">
        <w:rPr>
          <w:rFonts w:ascii="Times New Roman" w:eastAsia="Times New Roman" w:hAnsi="Times New Roman" w:cs="Times New Roman"/>
          <w:bCs/>
          <w:sz w:val="24"/>
          <w:szCs w:val="24"/>
          <w:lang w:eastAsia="lv-LV"/>
        </w:rPr>
        <w:t xml:space="preserve"> ievērojam</w:t>
      </w:r>
      <w:r w:rsidR="0027493A"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xml:space="preserve"> baž</w:t>
      </w:r>
      <w:r w:rsidR="0027493A"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xml:space="preserve"> par ieguldītāju aizsardzību, ko rada līgumu par starpību piedāvājums privātajiem klientiem.</w:t>
      </w:r>
    </w:p>
    <w:p w14:paraId="176A44B1" w14:textId="549A5303"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Finanšu darbībā vai finanšu praksē iesaistīto klientu kategorija</w:t>
      </w:r>
      <w:r w:rsidR="007E6E7B" w:rsidRPr="00046FC6">
        <w:rPr>
          <w:rFonts w:ascii="Times New Roman" w:eastAsia="Times New Roman" w:hAnsi="Times New Roman" w:cs="Times New Roman"/>
          <w:b/>
          <w:sz w:val="24"/>
          <w:szCs w:val="24"/>
          <w:lang w:eastAsia="lv-LV"/>
        </w:rPr>
        <w:t xml:space="preserve"> </w:t>
      </w:r>
      <w:r w:rsidRPr="00046FC6">
        <w:rPr>
          <w:rFonts w:ascii="Times New Roman" w:eastAsia="Times New Roman" w:hAnsi="Times New Roman" w:cs="Times New Roman"/>
          <w:b/>
          <w:sz w:val="24"/>
          <w:szCs w:val="24"/>
          <w:lang w:eastAsia="lv-LV"/>
        </w:rPr>
        <w:t xml:space="preserve">(Deleģētās </w:t>
      </w:r>
      <w:r w:rsidR="007E6E7B" w:rsidRPr="00046FC6">
        <w:rPr>
          <w:rFonts w:ascii="Times New Roman" w:eastAsia="Times New Roman" w:hAnsi="Times New Roman" w:cs="Times New Roman"/>
          <w:b/>
          <w:sz w:val="24"/>
          <w:szCs w:val="24"/>
          <w:lang w:eastAsia="lv-LV"/>
        </w:rPr>
        <w:t>r</w:t>
      </w:r>
      <w:r w:rsidRPr="00046FC6">
        <w:rPr>
          <w:rFonts w:ascii="Times New Roman" w:eastAsia="Times New Roman" w:hAnsi="Times New Roman" w:cs="Times New Roman"/>
          <w:b/>
          <w:sz w:val="24"/>
          <w:szCs w:val="24"/>
          <w:lang w:eastAsia="lv-LV"/>
        </w:rPr>
        <w:t xml:space="preserve">egulas </w:t>
      </w:r>
      <w:r w:rsidR="007E6E7B" w:rsidRPr="00046FC6">
        <w:rPr>
          <w:rFonts w:ascii="Times New Roman" w:eastAsia="Times New Roman" w:hAnsi="Times New Roman" w:cs="Times New Roman"/>
          <w:b/>
          <w:sz w:val="24"/>
          <w:szCs w:val="24"/>
          <w:lang w:eastAsia="lv-LV"/>
        </w:rPr>
        <w:t xml:space="preserve">Nr. 2017/567 </w:t>
      </w:r>
      <w:r w:rsidRPr="00046FC6">
        <w:rPr>
          <w:rFonts w:ascii="Times New Roman" w:eastAsia="Times New Roman" w:hAnsi="Times New Roman" w:cs="Times New Roman"/>
          <w:b/>
          <w:sz w:val="24"/>
          <w:szCs w:val="24"/>
          <w:lang w:eastAsia="lv-LV"/>
        </w:rPr>
        <w:t>21.</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c)</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61D0C26F" w14:textId="47125355" w:rsidR="00843A49" w:rsidRPr="00046FC6" w:rsidRDefault="00597794"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lang w:eastAsia="lv-LV"/>
        </w:rPr>
        <w:t>L</w:t>
      </w:r>
      <w:r w:rsidR="00843A49" w:rsidRPr="00046FC6">
        <w:rPr>
          <w:rFonts w:ascii="Times New Roman" w:eastAsia="Times New Roman" w:hAnsi="Times New Roman" w:cs="Times New Roman"/>
          <w:bCs/>
          <w:sz w:val="24"/>
          <w:lang w:eastAsia="lv-LV"/>
        </w:rPr>
        <w:t xml:space="preserve">īgumus par starpību </w:t>
      </w:r>
      <w:r w:rsidR="00843A49" w:rsidRPr="00046FC6">
        <w:rPr>
          <w:rFonts w:ascii="Times New Roman" w:eastAsia="Times New Roman" w:hAnsi="Times New Roman" w:cs="Times New Roman"/>
          <w:sz w:val="24"/>
          <w:szCs w:val="24"/>
          <w:lang w:eastAsia="lv-LV"/>
        </w:rPr>
        <w:t xml:space="preserve">reklamē, izplata un pārdod </w:t>
      </w:r>
      <w:r w:rsidR="00843A49" w:rsidRPr="00046FC6">
        <w:rPr>
          <w:rFonts w:ascii="Times New Roman" w:eastAsia="Times New Roman" w:hAnsi="Times New Roman" w:cs="Times New Roman"/>
          <w:bCs/>
          <w:sz w:val="24"/>
          <w:szCs w:val="24"/>
          <w:lang w:eastAsia="lv-LV"/>
        </w:rPr>
        <w:t>gan privātiem, gan profesionāliem klientiem. Tomēr privātajiem (atšķirībā no profesionāliem) klientiem parasti nav pieredzes, zināšanu un kompetences, lai pieņemtu ieguldījumu lēmumus, pienācīgi novērtējot riskus, ar ko tie saskaras attiecībā uz sarežģītajiem līgumiem par starpību, kurus ierobežo Latvijas Bankas prasības.</w:t>
      </w:r>
    </w:p>
    <w:p w14:paraId="2670E3BD" w14:textId="54019A7B" w:rsidR="00843A49" w:rsidRPr="00046FC6" w:rsidRDefault="00A521B8"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Maltā veiktais</w:t>
      </w:r>
      <w:r w:rsidR="00843A49" w:rsidRPr="00046FC6">
        <w:rPr>
          <w:rFonts w:ascii="Times New Roman" w:eastAsia="Times New Roman" w:hAnsi="Times New Roman" w:cs="Times New Roman"/>
          <w:bCs/>
          <w:sz w:val="24"/>
          <w:szCs w:val="24"/>
          <w:lang w:eastAsia="lv-LV"/>
        </w:rPr>
        <w:t xml:space="preserve"> pētījums</w:t>
      </w:r>
      <w:r w:rsidR="00843A49" w:rsidRPr="00046FC6">
        <w:rPr>
          <w:rFonts w:ascii="Times New Roman" w:eastAsia="Times New Roman" w:hAnsi="Times New Roman" w:cs="Times New Roman"/>
          <w:bCs/>
          <w:sz w:val="24"/>
          <w:szCs w:val="24"/>
          <w:vertAlign w:val="superscript"/>
          <w:lang w:eastAsia="lv-LV"/>
        </w:rPr>
        <w:footnoteReference w:id="55"/>
      </w:r>
      <w:r w:rsidR="00843A49" w:rsidRPr="00046FC6">
        <w:rPr>
          <w:rFonts w:ascii="Times New Roman" w:eastAsia="Times New Roman" w:hAnsi="Times New Roman" w:cs="Times New Roman"/>
          <w:bCs/>
          <w:sz w:val="24"/>
          <w:szCs w:val="24"/>
          <w:lang w:eastAsia="lv-LV"/>
        </w:rPr>
        <w:t xml:space="preserve"> liecina, ka augstākie maksimālie kredītpleca līmeņi bieži tika piedāvāti privātajiem </w:t>
      </w:r>
      <w:r w:rsidR="00843A49" w:rsidRPr="00046FC6">
        <w:rPr>
          <w:rFonts w:ascii="Times New Roman" w:eastAsia="Times New Roman" w:hAnsi="Times New Roman" w:cs="Times New Roman"/>
          <w:bCs/>
          <w:sz w:val="24"/>
          <w:lang w:eastAsia="lv-LV"/>
        </w:rPr>
        <w:t>klientiem</w:t>
      </w:r>
      <w:r w:rsidR="00843A49" w:rsidRPr="00046FC6">
        <w:rPr>
          <w:rFonts w:ascii="Times New Roman" w:eastAsia="Times New Roman" w:hAnsi="Times New Roman" w:cs="Times New Roman"/>
          <w:bCs/>
          <w:sz w:val="24"/>
          <w:szCs w:val="24"/>
          <w:lang w:eastAsia="lv-LV"/>
        </w:rPr>
        <w:t xml:space="preserve">, savukārt profesionālajiem klientiem un atbilstīgajiem darījumu partneriem tika piedāvāti zemāki maksimālie kredītpleca līmeņi. Ņemot vērā iepriekšējos punktos aprakstītos pierādījumus par EVTI un Latvijas Bankas novērotajiem zaudējumiem privāto klientu kontos, ir skaidrs, ka pastāv būtiskas bažas par ieguldītāju aizsardzību attiecībā uz līgumu par starpību neierobežotu </w:t>
      </w:r>
      <w:r w:rsidR="00843A49" w:rsidRPr="00046FC6">
        <w:rPr>
          <w:rFonts w:ascii="Times New Roman" w:eastAsia="Times New Roman" w:hAnsi="Times New Roman" w:cs="Times New Roman"/>
          <w:sz w:val="24"/>
          <w:szCs w:val="24"/>
          <w:lang w:eastAsia="lv-LV"/>
        </w:rPr>
        <w:t xml:space="preserve">reklamēšanu, izplatīšanu un pārdošanu </w:t>
      </w:r>
      <w:r w:rsidR="00843A49" w:rsidRPr="00046FC6">
        <w:rPr>
          <w:rFonts w:ascii="Times New Roman" w:eastAsia="Times New Roman" w:hAnsi="Times New Roman" w:cs="Times New Roman"/>
          <w:bCs/>
          <w:sz w:val="24"/>
          <w:szCs w:val="24"/>
          <w:lang w:eastAsia="lv-LV"/>
        </w:rPr>
        <w:t>šai klientu kategorijai.</w:t>
      </w:r>
    </w:p>
    <w:p w14:paraId="6279B4FE" w14:textId="13F9970D"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Reklamēšanas un izplatīšanas darbības saistībā ar līgumiem par starpību</w:t>
      </w:r>
      <w:r w:rsidR="007E6E7B" w:rsidRPr="00046FC6">
        <w:rPr>
          <w:rFonts w:ascii="Times New Roman" w:eastAsia="Times New Roman" w:hAnsi="Times New Roman" w:cs="Times New Roman"/>
          <w:b/>
          <w:sz w:val="24"/>
          <w:szCs w:val="24"/>
          <w:lang w:eastAsia="lv-LV"/>
        </w:rPr>
        <w:t xml:space="preserve"> </w:t>
      </w:r>
      <w:r w:rsidRPr="00046FC6">
        <w:rPr>
          <w:rFonts w:ascii="Times New Roman" w:eastAsia="Times New Roman" w:hAnsi="Times New Roman" w:cs="Times New Roman"/>
          <w:b/>
          <w:sz w:val="24"/>
          <w:szCs w:val="24"/>
          <w:lang w:eastAsia="lv-LV"/>
        </w:rPr>
        <w:t xml:space="preserve">(Deleģētās </w:t>
      </w:r>
      <w:r w:rsidR="007E6E7B" w:rsidRPr="00046FC6">
        <w:rPr>
          <w:rFonts w:ascii="Times New Roman" w:eastAsia="Times New Roman" w:hAnsi="Times New Roman" w:cs="Times New Roman"/>
          <w:b/>
          <w:sz w:val="24"/>
          <w:szCs w:val="24"/>
          <w:lang w:eastAsia="lv-LV"/>
        </w:rPr>
        <w:t>r</w:t>
      </w:r>
      <w:r w:rsidRPr="00046FC6">
        <w:rPr>
          <w:rFonts w:ascii="Times New Roman" w:eastAsia="Times New Roman" w:hAnsi="Times New Roman" w:cs="Times New Roman"/>
          <w:b/>
          <w:sz w:val="24"/>
          <w:szCs w:val="24"/>
          <w:lang w:eastAsia="lv-LV"/>
        </w:rPr>
        <w:t xml:space="preserve">egulas </w:t>
      </w:r>
      <w:r w:rsidR="007E6E7B" w:rsidRPr="00046FC6">
        <w:rPr>
          <w:rFonts w:ascii="Times New Roman" w:eastAsia="Times New Roman" w:hAnsi="Times New Roman" w:cs="Times New Roman"/>
          <w:b/>
          <w:sz w:val="24"/>
          <w:szCs w:val="24"/>
          <w:lang w:eastAsia="lv-LV"/>
        </w:rPr>
        <w:t xml:space="preserve">Nr. 2017/567 </w:t>
      </w:r>
      <w:r w:rsidRPr="00046FC6">
        <w:rPr>
          <w:rFonts w:ascii="Times New Roman" w:eastAsia="Times New Roman" w:hAnsi="Times New Roman" w:cs="Times New Roman"/>
          <w:b/>
          <w:sz w:val="24"/>
          <w:szCs w:val="24"/>
          <w:lang w:eastAsia="lv-LV"/>
        </w:rPr>
        <w:t>21.</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j)</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054822FC" w14:textId="2977E99D"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 atzīmē, ka, lai gan līgum</w:t>
      </w:r>
      <w:r w:rsidR="00597794"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par starpību ir sarežģīti produkti, tie privātajiem klientiem visbiežāk tiek piedāvāti, izmantojot elektroniskās tirdzniecības platformas un bez ieguldījumu konsultāciju sniegšanas vai portfeļa pārvaldības. Šādos gadījumos ir nepieciešams atbilstības novērtējums saskaņā ar Finanšu instrumentu tirgus likuma</w:t>
      </w:r>
      <w:r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bCs/>
          <w:sz w:val="24"/>
          <w:szCs w:val="24"/>
          <w:lang w:eastAsia="lv-LV"/>
        </w:rPr>
        <w:t>126.</w:t>
      </w:r>
      <w:r w:rsidRPr="00046FC6">
        <w:rPr>
          <w:rFonts w:ascii="Times New Roman" w:eastAsia="Times New Roman" w:hAnsi="Times New Roman" w:cs="Times New Roman"/>
          <w:bCs/>
          <w:sz w:val="24"/>
          <w:szCs w:val="24"/>
          <w:vertAlign w:val="superscript"/>
          <w:lang w:eastAsia="lv-LV"/>
        </w:rPr>
        <w:t>2</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pants pirmo daļu</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Tomēr šis novērtējums neliedz 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sniedzējiem</w:t>
      </w:r>
      <w:r w:rsidR="00597794"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to klientiem vai </w:t>
      </w:r>
      <w:r w:rsidRPr="00046FC6">
        <w:rPr>
          <w:rFonts w:ascii="Times New Roman" w:eastAsia="Times New Roman" w:hAnsi="Times New Roman" w:cs="Times New Roman"/>
          <w:bCs/>
          <w:sz w:val="24"/>
          <w:szCs w:val="24"/>
          <w:lang w:eastAsia="lv-LV"/>
        </w:rPr>
        <w:lastRenderedPageBreak/>
        <w:t>iespējamiem klientiem turpināt darījumu, ja klients tiek vienkārši brīdināts. Tas var notikt gadījumā, ja klients pārdevējam nav sniedzis informāciju vai ir sniedzis nepietiekamu informāciju par viņa zināšanām un pieredzi ieguldījumu jomā saistībā ar konkrēto produktu tipu, kā arī tad, ja pārdevējs ir secinājis, ka produkts klientam nav atbilstošs. Tas dod iespēju privātajiem klientiem piekļūt tādiem produktiem kā, piemēram, līgumi par starpību, kurus to īpatnību dēļ nevajadzētu izplatīt šiem klientiem.</w:t>
      </w:r>
    </w:p>
    <w:p w14:paraId="3D2037FE" w14:textId="50ABD579"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sz w:val="24"/>
          <w:lang w:eastAsia="lv-LV"/>
        </w:rPr>
      </w:pPr>
      <w:r w:rsidRPr="00046FC6">
        <w:rPr>
          <w:rFonts w:ascii="Times New Roman" w:eastAsia="Times New Roman" w:hAnsi="Times New Roman" w:cs="Times New Roman"/>
          <w:sz w:val="24"/>
          <w:lang w:eastAsia="lv-LV"/>
        </w:rPr>
        <w:t xml:space="preserve">UK-FCA ir konstatējusi atkārtotus trūkumus </w:t>
      </w:r>
      <w:r w:rsidRPr="00046FC6">
        <w:rPr>
          <w:rFonts w:ascii="Times New Roman" w:eastAsia="Times New Roman" w:hAnsi="Times New Roman" w:cs="Times New Roman"/>
          <w:bCs/>
          <w:sz w:val="24"/>
          <w:szCs w:val="24"/>
          <w:lang w:eastAsia="lv-LV"/>
        </w:rPr>
        <w:t xml:space="preserve">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sz w:val="24"/>
          <w:lang w:eastAsia="lv-LV"/>
        </w:rPr>
        <w:t xml:space="preserve">sniedzēju pieejā atbilstības novērtējuma veikšanai, tai skaitā trūkumus pašā novērtējumā, nepiemērotus riska brīdinājumus privātajiem klientiem, kuru atbilstība novērtējumā netika apstiprināta, un tāda procesa izveides trūkumu, kurā tiktu izvērtēts, vai </w:t>
      </w:r>
      <w:r w:rsidRPr="00046FC6">
        <w:rPr>
          <w:rFonts w:ascii="Times New Roman" w:eastAsia="Times New Roman" w:hAnsi="Times New Roman" w:cs="Times New Roman"/>
          <w:bCs/>
          <w:sz w:val="24"/>
          <w:szCs w:val="24"/>
          <w:lang w:eastAsia="lv-LV"/>
        </w:rPr>
        <w:t>klientiem</w:t>
      </w:r>
      <w:r w:rsidRPr="00046FC6">
        <w:rPr>
          <w:rFonts w:ascii="Times New Roman" w:eastAsia="Times New Roman" w:hAnsi="Times New Roman" w:cs="Times New Roman"/>
          <w:sz w:val="24"/>
          <w:lang w:eastAsia="lv-LV"/>
        </w:rPr>
        <w:t xml:space="preserve">, kuru atbilstība novērtējumā netika apstiprināta, bet kuri tomēr vēlas veikt </w:t>
      </w:r>
      <w:r w:rsidRPr="00046FC6">
        <w:rPr>
          <w:rFonts w:ascii="Times New Roman" w:eastAsia="Times New Roman" w:hAnsi="Times New Roman" w:cs="Times New Roman"/>
          <w:bCs/>
          <w:sz w:val="24"/>
          <w:szCs w:val="24"/>
          <w:lang w:eastAsia="lv-LV"/>
        </w:rPr>
        <w:t xml:space="preserve">līgumu par starpību </w:t>
      </w:r>
      <w:r w:rsidRPr="00046FC6">
        <w:rPr>
          <w:rFonts w:ascii="Times New Roman" w:eastAsia="Times New Roman" w:hAnsi="Times New Roman" w:cs="Times New Roman"/>
          <w:sz w:val="24"/>
          <w:lang w:eastAsia="lv-LV"/>
        </w:rPr>
        <w:t xml:space="preserve">tirdzniecību, būtu jāļauj turpināt veikt </w:t>
      </w:r>
      <w:r w:rsidRPr="00046FC6">
        <w:rPr>
          <w:rFonts w:ascii="Times New Roman" w:eastAsia="Times New Roman" w:hAnsi="Times New Roman" w:cs="Times New Roman"/>
          <w:bCs/>
          <w:sz w:val="24"/>
          <w:szCs w:val="24"/>
          <w:lang w:eastAsia="lv-LV"/>
        </w:rPr>
        <w:t xml:space="preserve">līgumu par starpību </w:t>
      </w:r>
      <w:r w:rsidRPr="00046FC6">
        <w:rPr>
          <w:rFonts w:ascii="Times New Roman" w:eastAsia="Times New Roman" w:hAnsi="Times New Roman" w:cs="Times New Roman"/>
          <w:sz w:val="24"/>
          <w:lang w:eastAsia="lv-LV"/>
        </w:rPr>
        <w:t>darījumus. 2016.</w:t>
      </w:r>
      <w:r w:rsidR="007E6E7B" w:rsidRPr="00046FC6">
        <w:rPr>
          <w:rFonts w:ascii="Times New Roman" w:eastAsia="Times New Roman" w:hAnsi="Times New Roman" w:cs="Times New Roman"/>
          <w:sz w:val="24"/>
          <w:lang w:eastAsia="lv-LV"/>
        </w:rPr>
        <w:t> </w:t>
      </w:r>
      <w:r w:rsidRPr="00046FC6">
        <w:rPr>
          <w:rFonts w:ascii="Times New Roman" w:eastAsia="Times New Roman" w:hAnsi="Times New Roman" w:cs="Times New Roman"/>
          <w:sz w:val="24"/>
          <w:lang w:eastAsia="lv-LV"/>
        </w:rPr>
        <w:t>gada beigās pievēršoties šim jautājumam atkārtoti, UK-FCA konstatēja, ka ievērojams skaits ieguldījumu brokeru sabiedrību pēc iepriekšējo apsvērumu saņemšanas nebija pievērsušās minēto trūkumu risināšanai.</w:t>
      </w:r>
      <w:r w:rsidRPr="00046FC6">
        <w:rPr>
          <w:rFonts w:ascii="Times New Roman" w:eastAsia="Times New Roman" w:hAnsi="Times New Roman" w:cs="Times New Roman"/>
          <w:bCs/>
          <w:sz w:val="24"/>
          <w:szCs w:val="24"/>
          <w:vertAlign w:val="superscript"/>
          <w:lang w:eastAsia="lv-LV"/>
        </w:rPr>
        <w:footnoteReference w:id="56"/>
      </w:r>
    </w:p>
    <w:p w14:paraId="5A8BA2B5" w14:textId="2EA5BB17"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Turklāt dalībvalstu kompetentās iestādes ir paudušas bažas par 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 xml:space="preserve">sniedzēju atbilstību viņu </w:t>
      </w:r>
      <w:r w:rsidRPr="00046FC6">
        <w:rPr>
          <w:rFonts w:ascii="Times New Roman" w:eastAsia="Times New Roman" w:hAnsi="Times New Roman" w:cs="Times New Roman"/>
          <w:sz w:val="24"/>
          <w:lang w:eastAsia="lv-LV"/>
        </w:rPr>
        <w:t>pienākumiem</w:t>
      </w:r>
      <w:r w:rsidRPr="00046FC6">
        <w:rPr>
          <w:rFonts w:ascii="Times New Roman" w:eastAsia="Times New Roman" w:hAnsi="Times New Roman" w:cs="Times New Roman"/>
          <w:bCs/>
          <w:sz w:val="24"/>
          <w:szCs w:val="24"/>
          <w:lang w:eastAsia="lv-LV"/>
        </w:rPr>
        <w:t xml:space="preserve"> sniegt klientiem skaidru un nemaldinošu informāciju vai rīkoties klientu interesēs. Dalībvalstu kompetentās iestādes ir paudušas bažas arī par </w:t>
      </w:r>
      <w:r w:rsidRPr="00046FC6">
        <w:rPr>
          <w:rFonts w:ascii="Times New Roman" w:eastAsia="Times New Roman" w:hAnsi="Times New Roman" w:cs="Times New Roman"/>
          <w:sz w:val="24"/>
          <w:lang w:eastAsia="lv-LV"/>
        </w:rPr>
        <w:t>to, ka atbilstības pārbaudes praksē netiek pienācīgi veiktas</w:t>
      </w:r>
      <w:r w:rsidR="00253A9E" w:rsidRPr="00046FC6">
        <w:rPr>
          <w:rFonts w:ascii="Times New Roman" w:eastAsia="Times New Roman" w:hAnsi="Times New Roman" w:cs="Times New Roman"/>
          <w:sz w:val="24"/>
          <w:lang w:eastAsia="lv-LV"/>
        </w:rPr>
        <w:t>,</w:t>
      </w:r>
      <w:r w:rsidRPr="00046FC6">
        <w:rPr>
          <w:rFonts w:ascii="Times New Roman" w:eastAsia="Times New Roman" w:hAnsi="Times New Roman" w:cs="Times New Roman"/>
          <w:bCs/>
          <w:sz w:val="24"/>
          <w:szCs w:val="24"/>
          <w:lang w:eastAsia="lv-LV"/>
        </w:rPr>
        <w:t xml:space="preserve"> un par </w:t>
      </w:r>
      <w:r w:rsidRPr="00046FC6">
        <w:rPr>
          <w:rFonts w:ascii="Times New Roman" w:eastAsia="Times New Roman" w:hAnsi="Times New Roman" w:cs="Times New Roman"/>
          <w:sz w:val="24"/>
          <w:lang w:eastAsia="lv-LV"/>
        </w:rPr>
        <w:t xml:space="preserve">neatbilstošiem </w:t>
      </w:r>
      <w:r w:rsidRPr="00046FC6">
        <w:rPr>
          <w:rFonts w:ascii="Times New Roman" w:eastAsia="Times New Roman" w:hAnsi="Times New Roman" w:cs="Times New Roman"/>
          <w:bCs/>
          <w:sz w:val="24"/>
          <w:szCs w:val="24"/>
          <w:lang w:eastAsia="lv-LV"/>
        </w:rPr>
        <w:t xml:space="preserve">brīdinājumiem klientiem gadījumos, </w:t>
      </w:r>
      <w:r w:rsidR="00253A9E" w:rsidRPr="00046FC6">
        <w:rPr>
          <w:rFonts w:ascii="Times New Roman" w:eastAsia="Times New Roman" w:hAnsi="Times New Roman" w:cs="Times New Roman"/>
          <w:sz w:val="24"/>
          <w:lang w:eastAsia="lv-LV"/>
        </w:rPr>
        <w:t>k</w:t>
      </w:r>
      <w:r w:rsidRPr="00046FC6">
        <w:rPr>
          <w:rFonts w:ascii="Times New Roman" w:eastAsia="Times New Roman" w:hAnsi="Times New Roman" w:cs="Times New Roman"/>
          <w:sz w:val="24"/>
          <w:lang w:eastAsia="lv-LV"/>
        </w:rPr>
        <w:t>a</w:t>
      </w:r>
      <w:r w:rsidR="00253A9E" w:rsidRPr="00046FC6">
        <w:rPr>
          <w:rFonts w:ascii="Times New Roman" w:eastAsia="Times New Roman" w:hAnsi="Times New Roman" w:cs="Times New Roman"/>
          <w:sz w:val="24"/>
          <w:lang w:eastAsia="lv-LV"/>
        </w:rPr>
        <w:t>d</w:t>
      </w:r>
      <w:r w:rsidRPr="00046FC6">
        <w:rPr>
          <w:rFonts w:ascii="Times New Roman" w:eastAsia="Times New Roman" w:hAnsi="Times New Roman" w:cs="Times New Roman"/>
          <w:sz w:val="24"/>
          <w:lang w:eastAsia="lv-LV"/>
        </w:rPr>
        <w:t xml:space="preserve"> tie neiztur atbilstības pārbaudi</w:t>
      </w:r>
      <w:r w:rsidRPr="00046FC6">
        <w:rPr>
          <w:rFonts w:ascii="Times New Roman" w:eastAsia="Times New Roman" w:hAnsi="Times New Roman" w:cs="Times New Roman"/>
          <w:bCs/>
          <w:sz w:val="24"/>
          <w:szCs w:val="24"/>
          <w:lang w:eastAsia="lv-LV"/>
        </w:rPr>
        <w:t>. EV</w:t>
      </w:r>
      <w:r w:rsidR="007E6E7B" w:rsidRPr="00046FC6">
        <w:rPr>
          <w:rFonts w:ascii="Times New Roman" w:eastAsia="Times New Roman" w:hAnsi="Times New Roman" w:cs="Times New Roman"/>
          <w:bCs/>
          <w:sz w:val="24"/>
          <w:szCs w:val="24"/>
          <w:lang w:eastAsia="lv-LV"/>
        </w:rPr>
        <w:t>TI</w:t>
      </w:r>
      <w:r w:rsidRPr="00046FC6">
        <w:rPr>
          <w:rFonts w:ascii="Times New Roman" w:eastAsia="Times New Roman" w:hAnsi="Times New Roman" w:cs="Times New Roman"/>
          <w:bCs/>
          <w:sz w:val="24"/>
          <w:szCs w:val="24"/>
          <w:lang w:eastAsia="lv-LV"/>
        </w:rPr>
        <w:t xml:space="preserve"> sagatavotajā jautājumu un atbilžu sadaļ</w:t>
      </w:r>
      <w:r w:rsidR="007A0755" w:rsidRPr="00046FC6">
        <w:rPr>
          <w:rFonts w:ascii="Times New Roman" w:eastAsia="Times New Roman" w:hAnsi="Times New Roman" w:cs="Times New Roman"/>
          <w:bCs/>
          <w:sz w:val="24"/>
          <w:szCs w:val="24"/>
          <w:lang w:eastAsia="lv-LV"/>
        </w:rPr>
        <w:t>ā</w:t>
      </w:r>
      <w:r w:rsidRPr="00046FC6">
        <w:rPr>
          <w:rFonts w:ascii="Times New Roman" w:eastAsia="Times New Roman" w:hAnsi="Times New Roman" w:cs="Times New Roman"/>
          <w:bCs/>
          <w:sz w:val="24"/>
          <w:szCs w:val="24"/>
          <w:lang w:eastAsia="lv-LV"/>
        </w:rPr>
        <w:t xml:space="preserve">, kas attiecas uz līgumu par starpību un citu spekulatīvo produktu sniegšanu privātajiem klientiem saskaņā ar </w:t>
      </w:r>
      <w:r w:rsidR="00FC5E08" w:rsidRPr="00046FC6">
        <w:rPr>
          <w:rFonts w:ascii="Times New Roman" w:eastAsia="Times New Roman" w:hAnsi="Times New Roman" w:cs="Times New Roman"/>
          <w:bCs/>
          <w:sz w:val="24"/>
          <w:szCs w:val="24"/>
          <w:lang w:eastAsia="lv-LV"/>
        </w:rPr>
        <w:t>Direktīvu Nr.</w:t>
      </w:r>
      <w:r w:rsidR="003101ED" w:rsidRPr="00046FC6">
        <w:rPr>
          <w:rFonts w:ascii="Times New Roman" w:eastAsia="Times New Roman" w:hAnsi="Times New Roman" w:cs="Times New Roman"/>
          <w:bCs/>
          <w:sz w:val="24"/>
          <w:szCs w:val="24"/>
          <w:lang w:eastAsia="lv-LV"/>
        </w:rPr>
        <w:t> </w:t>
      </w:r>
      <w:r w:rsidR="00FC5E08" w:rsidRPr="00046FC6">
        <w:rPr>
          <w:rFonts w:ascii="Times New Roman" w:eastAsia="Times New Roman" w:hAnsi="Times New Roman" w:cs="Times New Roman"/>
          <w:bCs/>
          <w:sz w:val="24"/>
          <w:szCs w:val="24"/>
          <w:lang w:eastAsia="lv-LV"/>
        </w:rPr>
        <w:t>2014/65/ES par finanšu instrumentu tirgiem</w:t>
      </w:r>
      <w:r w:rsidR="00253A9E" w:rsidRPr="00046FC6">
        <w:rPr>
          <w:rFonts w:ascii="Times New Roman" w:eastAsia="Times New Roman" w:hAnsi="Times New Roman" w:cs="Times New Roman"/>
          <w:bCs/>
          <w:sz w:val="24"/>
          <w:szCs w:val="24"/>
          <w:lang w:eastAsia="lv-LV"/>
        </w:rPr>
        <w:t>,</w:t>
      </w:r>
      <w:r w:rsidR="00FC5E08"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lang w:eastAsia="lv-LV"/>
        </w:rPr>
        <w:t>ir aprakstīti sliktās prakses piemēri</w:t>
      </w:r>
      <w:r w:rsidR="00EF3B17" w:rsidRPr="00046FC6">
        <w:rPr>
          <w:rFonts w:ascii="Times New Roman" w:eastAsia="Times New Roman" w:hAnsi="Times New Roman" w:cs="Times New Roman"/>
          <w:sz w:val="24"/>
          <w:lang w:eastAsia="lv-LV"/>
        </w:rPr>
        <w:t>.</w:t>
      </w:r>
      <w:r w:rsidRPr="00046FC6">
        <w:rPr>
          <w:rFonts w:ascii="Times New Roman" w:eastAsia="Times New Roman" w:hAnsi="Times New Roman" w:cs="Times New Roman"/>
          <w:sz w:val="24"/>
          <w:vertAlign w:val="superscript"/>
          <w:lang w:eastAsia="lv-LV"/>
        </w:rPr>
        <w:footnoteReference w:id="57"/>
      </w:r>
    </w:p>
    <w:p w14:paraId="751D3167" w14:textId="270733B4"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Dalībvalstu kompetentās iestādes ir novērojušas arī agresīvas pārdošanas praksi, kā arī maldinošus </w:t>
      </w:r>
      <w:r w:rsidRPr="00046FC6">
        <w:rPr>
          <w:rFonts w:ascii="Times New Roman" w:eastAsia="Times New Roman" w:hAnsi="Times New Roman" w:cs="Times New Roman"/>
          <w:sz w:val="24"/>
          <w:lang w:eastAsia="lv-LV"/>
        </w:rPr>
        <w:t xml:space="preserve">mārketinga </w:t>
      </w:r>
      <w:r w:rsidRPr="00046FC6">
        <w:rPr>
          <w:rFonts w:ascii="Times New Roman" w:eastAsia="Times New Roman" w:hAnsi="Times New Roman" w:cs="Times New Roman"/>
          <w:bCs/>
          <w:sz w:val="24"/>
          <w:szCs w:val="24"/>
          <w:lang w:eastAsia="lv-LV"/>
        </w:rPr>
        <w:t>paziņojumus šajā finanšu tirgus sektorā. Tie ietver, piemēram, sponsorēšanas pasākumu vai saistību izmantošanu attiecībā uz lielākajām sporta komandām, kas rada maldinošu iespaidu, ka tādi sarežģīti un spekulatīvi produkti kā līgum</w:t>
      </w:r>
      <w:r w:rsidR="007A0755"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 xml:space="preserve"> par starpību ir piemēroti privāto klientu tirgum, veicinot vispārējo zīmola nosaukuma atpazīstamību. Turklāt tie ietver arī tādu maldinošu paziņojumu izmantošanu kā, piemēram, </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Tirdzniecība nekad nav bijusi tik viegla</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Sāciet savu tirgotāja karjeru tūlīt</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Nopelniet GBP 13</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000 24</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stundās! Sāciet!</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w:t>
      </w:r>
    </w:p>
    <w:p w14:paraId="3CCC345B" w14:textId="5A574BC4"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Saistībā ar EV</w:t>
      </w:r>
      <w:r w:rsidR="007E6E7B" w:rsidRPr="00046FC6">
        <w:rPr>
          <w:rFonts w:ascii="Times New Roman" w:eastAsia="Times New Roman" w:hAnsi="Times New Roman" w:cs="Times New Roman"/>
          <w:bCs/>
          <w:sz w:val="24"/>
          <w:szCs w:val="24"/>
          <w:lang w:eastAsia="lv-LV"/>
        </w:rPr>
        <w:t>TI</w:t>
      </w:r>
      <w:r w:rsidRPr="00046FC6">
        <w:rPr>
          <w:rFonts w:ascii="Times New Roman" w:eastAsia="Times New Roman" w:hAnsi="Times New Roman" w:cs="Times New Roman"/>
          <w:bCs/>
          <w:sz w:val="24"/>
          <w:szCs w:val="24"/>
          <w:lang w:eastAsia="lv-LV"/>
        </w:rPr>
        <w:t xml:space="preserve"> līgumu par starpību jautājumu un atbilžu sagatavošanu dažu dalībvalstu kompetentās iestādes ir ziņojušas EV</w:t>
      </w:r>
      <w:r w:rsidR="007E6E7B" w:rsidRPr="00046FC6">
        <w:rPr>
          <w:rFonts w:ascii="Times New Roman" w:eastAsia="Times New Roman" w:hAnsi="Times New Roman" w:cs="Times New Roman"/>
          <w:bCs/>
          <w:sz w:val="24"/>
          <w:szCs w:val="24"/>
          <w:lang w:eastAsia="lv-LV"/>
        </w:rPr>
        <w:t>TI</w:t>
      </w:r>
      <w:r w:rsidRPr="00046FC6">
        <w:rPr>
          <w:rFonts w:ascii="Times New Roman" w:eastAsia="Times New Roman" w:hAnsi="Times New Roman" w:cs="Times New Roman"/>
          <w:bCs/>
          <w:sz w:val="24"/>
          <w:szCs w:val="24"/>
          <w:lang w:eastAsia="lv-LV"/>
        </w:rPr>
        <w:t xml:space="preserve">, ka 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 xml:space="preserve">sniedzēji bieži vien pienācīgi neizskaidro ar šiem produktiem saistītos riskus. Dažas dalībvalstu kompetentās iestādes īpaši ir konstatējušas, ka 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 xml:space="preserve">sniedzēji nav piemēroti aprakstījuši to, ka pastāv iespējamība strauji ciest zaudējumus, kas varētu pārsniegt </w:t>
      </w:r>
      <w:r w:rsidR="007A0755" w:rsidRPr="00046FC6">
        <w:rPr>
          <w:rFonts w:ascii="Times New Roman" w:eastAsia="Times New Roman" w:hAnsi="Times New Roman" w:cs="Times New Roman"/>
          <w:bCs/>
          <w:sz w:val="24"/>
          <w:szCs w:val="24"/>
          <w:lang w:eastAsia="lv-LV"/>
        </w:rPr>
        <w:t>klienta</w:t>
      </w:r>
      <w:r w:rsidRPr="00046FC6">
        <w:rPr>
          <w:rFonts w:ascii="Times New Roman" w:eastAsia="Times New Roman" w:hAnsi="Times New Roman" w:cs="Times New Roman"/>
          <w:bCs/>
          <w:sz w:val="24"/>
          <w:szCs w:val="24"/>
          <w:lang w:eastAsia="lv-LV"/>
        </w:rPr>
        <w:t xml:space="preserve"> ieguldītos līdzekļus.</w:t>
      </w:r>
    </w:p>
    <w:p w14:paraId="2A430802" w14:textId="17F71F4E"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Arī šajā kontekstā dažas dalībvalstu kompetentās iestādes ir izteikušas bažas par dažu 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sniedzēju uzņēmējdarbības modeļu spekulatīvo raksturu. Apstāklis, ka klienta konta pastāvēšanas laiks var būt salīdzinoši īss, pārdevējiem var radīt zināmu spiedienu nodrošināt stabilu jaunu klientu pieplūdumu, un tas pārdevējus varētu mudināt piemērot agresīvas tirdzniecības un pārdošanas metodes, kas nav privāto klientu interesēs.</w:t>
      </w:r>
    </w:p>
    <w:p w14:paraId="03874B57" w14:textId="7E789F9D" w:rsidR="00843A49" w:rsidRPr="00046FC6" w:rsidRDefault="007A0755"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w:t>
      </w:r>
      <w:r w:rsidR="00843A49" w:rsidRPr="00046FC6">
        <w:rPr>
          <w:rFonts w:ascii="Times New Roman" w:eastAsia="Times New Roman" w:hAnsi="Times New Roman" w:cs="Times New Roman"/>
          <w:bCs/>
          <w:sz w:val="24"/>
          <w:szCs w:val="24"/>
          <w:lang w:eastAsia="lv-LV"/>
        </w:rPr>
        <w:t xml:space="preserve">īgumu par starpību nozares pieņemto tirdzniecības un pārdošanas metožu kopīga iezīme ir tirdzniecības labumu </w:t>
      </w:r>
      <w:r w:rsidR="00C03D23" w:rsidRPr="00046FC6">
        <w:rPr>
          <w:rFonts w:ascii="Times New Roman" w:eastAsia="Times New Roman" w:hAnsi="Times New Roman" w:cs="Times New Roman"/>
          <w:bCs/>
          <w:sz w:val="24"/>
          <w:szCs w:val="24"/>
          <w:lang w:eastAsia="lv-LV"/>
        </w:rPr>
        <w:t xml:space="preserve">(finansiālu un nefinansiālu) </w:t>
      </w:r>
      <w:r w:rsidR="00843A49" w:rsidRPr="00046FC6">
        <w:rPr>
          <w:rFonts w:ascii="Times New Roman" w:eastAsia="Times New Roman" w:hAnsi="Times New Roman" w:cs="Times New Roman"/>
          <w:bCs/>
          <w:sz w:val="24"/>
          <w:szCs w:val="24"/>
          <w:lang w:eastAsia="lv-LV"/>
        </w:rPr>
        <w:t xml:space="preserve">piedāvājumi, piemēram, papildatlīdzības, </w:t>
      </w:r>
      <w:r w:rsidR="00843A49" w:rsidRPr="00046FC6">
        <w:rPr>
          <w:rFonts w:ascii="Times New Roman" w:eastAsia="Times New Roman" w:hAnsi="Times New Roman" w:cs="Times New Roman"/>
          <w:bCs/>
          <w:sz w:val="24"/>
          <w:szCs w:val="24"/>
          <w:lang w:eastAsia="lv-LV"/>
        </w:rPr>
        <w:lastRenderedPageBreak/>
        <w:t>lai piesaistītu un pamudinātu privātos klientus veikt ieguldījumus finanšu līgumos par starpību, dāvanu piedāvājumi (piemēram, brīvdienas, automobiļi, elektroniskās preces), tirdzniecības mācību līdzekļi vai samazinātas izmaksas (piemēram, starpība vai maksas).</w:t>
      </w:r>
    </w:p>
    <w:p w14:paraId="61446C7B" w14:textId="749057A6"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Bonusi un citas tirdzniecības priekšrocības var būt noderīg</w:t>
      </w:r>
      <w:r w:rsidR="006D6421" w:rsidRPr="00046FC6">
        <w:rPr>
          <w:rFonts w:ascii="Times New Roman" w:eastAsia="Times New Roman" w:hAnsi="Times New Roman" w:cs="Times New Roman"/>
          <w:bCs/>
          <w:sz w:val="24"/>
          <w:szCs w:val="24"/>
          <w:lang w:eastAsia="lv-LV"/>
        </w:rPr>
        <w:t>as</w:t>
      </w:r>
      <w:r w:rsidRPr="00046FC6">
        <w:rPr>
          <w:rFonts w:ascii="Times New Roman" w:eastAsia="Times New Roman" w:hAnsi="Times New Roman" w:cs="Times New Roman"/>
          <w:bCs/>
          <w:sz w:val="24"/>
          <w:szCs w:val="24"/>
          <w:lang w:eastAsia="lv-LV"/>
        </w:rPr>
        <w:t>, lai novērstu uzmanību no lielā ar produktu saistītā riska. Parasti to mērķis ir piesaistīt privātos klientus un stimulēt pārdošanu. Privātie klienti var uzskatīt šos pārdošanas veicināšanas paņēmienus par centrāliem produkta elementiem, iespējams, pienācīgi nenovērtējot ar produktu saistīto risku līmeņus.</w:t>
      </w:r>
      <w:r w:rsidRPr="00046FC6">
        <w:rPr>
          <w:rFonts w:ascii="Times New Roman" w:eastAsia="Times New Roman" w:hAnsi="Times New Roman" w:cs="Times New Roman"/>
          <w:bCs/>
          <w:sz w:val="24"/>
          <w:szCs w:val="24"/>
          <w:vertAlign w:val="superscript"/>
          <w:lang w:eastAsia="lv-LV"/>
        </w:rPr>
        <w:t xml:space="preserve"> </w:t>
      </w:r>
    </w:p>
    <w:p w14:paraId="142F317D" w14:textId="607F60D5"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Turklāt šādi tirdzniecības labumi (</w:t>
      </w:r>
      <w:r w:rsidRPr="00046FC6">
        <w:rPr>
          <w:rFonts w:ascii="Times New Roman" w:eastAsia="Times New Roman" w:hAnsi="Times New Roman" w:cs="Times New Roman"/>
          <w:sz w:val="24"/>
          <w:lang w:eastAsia="lv-LV"/>
        </w:rPr>
        <w:t>bonusi</w:t>
      </w:r>
      <w:r w:rsidRPr="00046FC6">
        <w:rPr>
          <w:rFonts w:ascii="Times New Roman" w:eastAsia="Times New Roman" w:hAnsi="Times New Roman" w:cs="Times New Roman"/>
          <w:bCs/>
          <w:sz w:val="24"/>
          <w:szCs w:val="24"/>
          <w:lang w:eastAsia="lv-LV"/>
        </w:rPr>
        <w:t>) atvērtiem</w:t>
      </w:r>
      <w:bookmarkStart w:id="18" w:name="_Hlk173932993"/>
      <w:r w:rsidRPr="00046FC6">
        <w:rPr>
          <w:rFonts w:ascii="Times New Roman" w:eastAsia="Times New Roman" w:hAnsi="Times New Roman" w:cs="Times New Roman"/>
          <w:bCs/>
          <w:sz w:val="24"/>
          <w:szCs w:val="24"/>
          <w:lang w:eastAsia="lv-LV"/>
        </w:rPr>
        <w:t xml:space="preserve"> līgumu par starpību </w:t>
      </w:r>
      <w:bookmarkEnd w:id="18"/>
      <w:r w:rsidRPr="00046FC6">
        <w:rPr>
          <w:rFonts w:ascii="Times New Roman" w:eastAsia="Times New Roman" w:hAnsi="Times New Roman" w:cs="Times New Roman"/>
          <w:bCs/>
          <w:sz w:val="24"/>
          <w:szCs w:val="24"/>
          <w:lang w:eastAsia="lv-LV"/>
        </w:rPr>
        <w:t xml:space="preserve">tirdzniecības kontiem bieži paredz, ka klientiem jāiemaksā papildu līdzekļi produktu sniedzējam un jāveic noteikts skaits darījumu konkrētā laika posmā. </w:t>
      </w:r>
      <w:r w:rsidRPr="00046FC6">
        <w:rPr>
          <w:rFonts w:ascii="Times New Roman" w:eastAsia="Times New Roman" w:hAnsi="Times New Roman" w:cs="Times New Roman"/>
          <w:sz w:val="24"/>
          <w:lang w:eastAsia="lv-LV"/>
        </w:rPr>
        <w:t xml:space="preserve">Ņemot vērā, ka pierādījumi liecina, ka lielākā daļa privāto klientu zaudē naudu </w:t>
      </w:r>
      <w:r w:rsidRPr="00046FC6">
        <w:rPr>
          <w:rFonts w:ascii="Times New Roman" w:eastAsia="Times New Roman" w:hAnsi="Times New Roman" w:cs="Times New Roman"/>
          <w:bCs/>
          <w:sz w:val="24"/>
          <w:szCs w:val="24"/>
          <w:lang w:eastAsia="lv-LV"/>
        </w:rPr>
        <w:t xml:space="preserve">līgumu par starpību </w:t>
      </w:r>
      <w:r w:rsidRPr="00046FC6">
        <w:rPr>
          <w:rFonts w:ascii="Times New Roman" w:eastAsia="Times New Roman" w:hAnsi="Times New Roman" w:cs="Times New Roman"/>
          <w:sz w:val="24"/>
          <w:lang w:eastAsia="lv-LV"/>
        </w:rPr>
        <w:t xml:space="preserve">tirdzniecībā, tas bieži nozīmē, ka klienti zaudē vairāk naudas no </w:t>
      </w:r>
      <w:r w:rsidR="00192BCB" w:rsidRPr="00046FC6">
        <w:rPr>
          <w:rFonts w:ascii="Times New Roman" w:eastAsia="Times New Roman" w:hAnsi="Times New Roman" w:cs="Times New Roman"/>
          <w:sz w:val="24"/>
          <w:lang w:eastAsia="lv-LV"/>
        </w:rPr>
        <w:t>l</w:t>
      </w:r>
      <w:r w:rsidRPr="00046FC6">
        <w:rPr>
          <w:rFonts w:ascii="Times New Roman" w:eastAsia="Times New Roman" w:hAnsi="Times New Roman" w:cs="Times New Roman"/>
          <w:bCs/>
          <w:sz w:val="24"/>
          <w:szCs w:val="24"/>
          <w:lang w:eastAsia="lv-LV"/>
        </w:rPr>
        <w:t>īgum</w:t>
      </w:r>
      <w:r w:rsidR="006D6421"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par starpību </w:t>
      </w:r>
      <w:r w:rsidRPr="00046FC6">
        <w:rPr>
          <w:rFonts w:ascii="Times New Roman" w:eastAsia="Times New Roman" w:hAnsi="Times New Roman" w:cs="Times New Roman"/>
          <w:sz w:val="24"/>
          <w:lang w:eastAsia="lv-LV"/>
        </w:rPr>
        <w:t>tirdzniecības, nekā tas būtu citādi, nesaņemot bonusa piedāvājumus.</w:t>
      </w:r>
      <w:r w:rsidRPr="00046FC6">
        <w:rPr>
          <w:rFonts w:ascii="Times New Roman" w:eastAsia="Times New Roman" w:hAnsi="Times New Roman" w:cs="Times New Roman"/>
          <w:bCs/>
          <w:sz w:val="24"/>
          <w:szCs w:val="24"/>
          <w:vertAlign w:val="superscript"/>
          <w:lang w:eastAsia="lv-LV"/>
        </w:rPr>
        <w:footnoteReference w:id="58"/>
      </w:r>
    </w:p>
    <w:p w14:paraId="5F67824A" w14:textId="0E311EBE"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Vairāku dalībvalstu kompetento iestāžu uzraudzības darbā ir atklāts, ka veicināšanas piedāvājumu noteikumi un nosacījumi nereti ir maldinoši un ka daudzi klienti neapzinājās nosacījumus, kas attiecas uz piekļuvi piedāvāt</w:t>
      </w:r>
      <w:r w:rsidR="006D6421"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jiem labumiem</w:t>
      </w:r>
      <w:r w:rsidR="00192BCB" w:rsidRPr="00046FC6">
        <w:rPr>
          <w:rFonts w:ascii="Times New Roman" w:eastAsia="Times New Roman" w:hAnsi="Times New Roman" w:cs="Times New Roman"/>
          <w:bCs/>
          <w:sz w:val="24"/>
          <w:szCs w:val="24"/>
          <w:lang w:eastAsia="lv-LV"/>
        </w:rPr>
        <w:t xml:space="preserve"> vai </w:t>
      </w:r>
      <w:r w:rsidRPr="00046FC6">
        <w:rPr>
          <w:rFonts w:ascii="Times New Roman" w:eastAsia="Times New Roman" w:hAnsi="Times New Roman" w:cs="Times New Roman"/>
          <w:bCs/>
          <w:sz w:val="24"/>
          <w:szCs w:val="24"/>
          <w:lang w:eastAsia="lv-LV"/>
        </w:rPr>
        <w:t>papildatlīdzībām. Visbeidzot jāmin, ka vairāki klienti ziņoja par grūtībām līdzekļu izņemšanā, mēģinot izmantot šādas papildatlīdzības.</w:t>
      </w:r>
    </w:p>
    <w:p w14:paraId="5551A37E" w14:textId="1EDC9109"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Papildus iepriekš minētajiem faktoriem daudzas dalībvalstu kompetentās iestādes konstatēja, ka šajā tirgus nozarē novērotajiem izplatīšanas modeļiem ir zināmi interešu konflikti. Spiediens, ko izraisa vajadzība uzturēt jaunu klientu plūsmu, palielina interešu konfliktu rašanās iespējamību. </w:t>
      </w:r>
      <w:r w:rsidR="006D43CF" w:rsidRPr="00046FC6">
        <w:rPr>
          <w:rFonts w:ascii="Times New Roman" w:eastAsia="Times New Roman" w:hAnsi="Times New Roman" w:cs="Times New Roman"/>
          <w:bCs/>
          <w:sz w:val="24"/>
          <w:szCs w:val="24"/>
          <w:lang w:eastAsia="lv-LV"/>
        </w:rPr>
        <w:t>I</w:t>
      </w:r>
      <w:r w:rsidRPr="00046FC6">
        <w:rPr>
          <w:rFonts w:ascii="Times New Roman" w:eastAsia="Times New Roman" w:hAnsi="Times New Roman" w:cs="Times New Roman"/>
          <w:bCs/>
          <w:sz w:val="24"/>
          <w:szCs w:val="24"/>
          <w:lang w:eastAsia="lv-LV"/>
        </w:rPr>
        <w:t>nterešu konflikt</w:t>
      </w:r>
      <w:r w:rsidR="006D43CF" w:rsidRPr="00046FC6">
        <w:rPr>
          <w:rFonts w:ascii="Times New Roman" w:eastAsia="Times New Roman" w:hAnsi="Times New Roman" w:cs="Times New Roman"/>
          <w:bCs/>
          <w:sz w:val="24"/>
          <w:szCs w:val="24"/>
          <w:lang w:eastAsia="lv-LV"/>
        </w:rPr>
        <w:t>u pamatā varētu būt</w:t>
      </w:r>
      <w:r w:rsidRPr="00046FC6">
        <w:rPr>
          <w:rFonts w:ascii="Times New Roman" w:eastAsia="Times New Roman" w:hAnsi="Times New Roman" w:cs="Times New Roman"/>
          <w:bCs/>
          <w:sz w:val="24"/>
          <w:szCs w:val="24"/>
          <w:lang w:eastAsia="lv-LV"/>
        </w:rPr>
        <w:t xml:space="preserve"> fakts, ka daži līgumu par starpību produktu sniedzēji ir klientu tirdzniecības darījumu partneri klientu darījumos, neierobežojot savu darījumu risku, un tādējādi viņu intereses nonāk tiešā pretrunā ar viņu klientu interesēm. Šiem produktu sniedzējiem ir lielāks risks, kā arī stimuls manipulēt vai izmantot mazāk pārredzamas salīdzināmās cenas, vai īstenot citu apšaubāmu praksi, piemēram, atcelt peļņu nesošus darījumus, izmantojot nepamatotu aizbildināšanos. Pastāv arī risks, ka produktu sniedzēji varētu censties izmantot asimetriskās novirzes (piemēram, visus noviržu rezultātā radušos zaudējumus nodot tālāk klientam, vienlaikus saglabājot noviržu rezultātā radušos peļņu). Produktu sniedzēji var mērķtiecīgi aizkavēt laiku starp līgumu par starpību tirdzniecības darījumu piedāvājumiem un to izpildi, lai vēl vairāk izmantotu šo praksi. Dalībvalstu kompetentās iestādes ir arī konstatējušas praksi, kad līgumu par starpību </w:t>
      </w:r>
      <w:r w:rsidR="00BD79C8" w:rsidRPr="00046FC6">
        <w:rPr>
          <w:rFonts w:ascii="Times New Roman" w:eastAsia="Times New Roman" w:hAnsi="Times New Roman" w:cs="Times New Roman"/>
          <w:bCs/>
          <w:sz w:val="24"/>
          <w:szCs w:val="24"/>
          <w:lang w:eastAsia="lv-LV"/>
        </w:rPr>
        <w:t xml:space="preserve">pakalpojumu </w:t>
      </w:r>
      <w:r w:rsidRPr="00046FC6">
        <w:rPr>
          <w:rFonts w:ascii="Times New Roman" w:eastAsia="Times New Roman" w:hAnsi="Times New Roman" w:cs="Times New Roman"/>
          <w:bCs/>
          <w:sz w:val="24"/>
          <w:szCs w:val="24"/>
          <w:lang w:eastAsia="lv-LV"/>
        </w:rPr>
        <w:t>sniedzēji piemēro asimetrisku vai neatbilstīgu uzcenojumu pamata starpībām.</w:t>
      </w:r>
      <w:r w:rsidRPr="00046FC6">
        <w:rPr>
          <w:rFonts w:ascii="Times New Roman" w:eastAsia="Times New Roman" w:hAnsi="Times New Roman" w:cs="Times New Roman"/>
          <w:bCs/>
          <w:sz w:val="24"/>
          <w:szCs w:val="24"/>
          <w:vertAlign w:val="superscript"/>
          <w:lang w:eastAsia="lv-LV"/>
        </w:rPr>
        <w:footnoteReference w:id="59"/>
      </w:r>
    </w:p>
    <w:p w14:paraId="0E63DA1A" w14:textId="3396E6BB"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 ir ņēmusi vērā iepriekš minētos pierādījumus un secinājusi, ka, nepastāvot ierobežojumiem, piemēram, tiem, kas ietverti sākotnējā EVTI finanšu līgumu par starpību intervences lēmumā, līgumu par starpību pārdošana privātajiem klientiem rada būtiskas bažas par ieguldītāju aizsardzību.</w:t>
      </w:r>
    </w:p>
    <w:p w14:paraId="5F68B5BD" w14:textId="153EA03D"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Piemērojamās spēkā esošās regulatīvās prasības saskaņā ar Eiropas Savienības tiesību aktiem nepietiekami novērš konstatētās ievērojamās bažas par ieguldītāju aizsardzību (</w:t>
      </w:r>
      <w:bookmarkStart w:id="19" w:name="_Hlk174720002"/>
      <w:r w:rsidR="007E6E7B" w:rsidRPr="00046FC6">
        <w:rPr>
          <w:rFonts w:ascii="Times New Roman" w:eastAsia="Times New Roman" w:hAnsi="Times New Roman" w:cs="Times New Roman"/>
          <w:b/>
          <w:sz w:val="24"/>
          <w:szCs w:val="24"/>
          <w:lang w:eastAsia="lv-LV"/>
        </w:rPr>
        <w:t>Regulas Nr. 600/2014</w:t>
      </w:r>
      <w:r w:rsidRPr="00046FC6">
        <w:rPr>
          <w:rFonts w:ascii="Times New Roman" w:eastAsia="Times New Roman" w:hAnsi="Times New Roman" w:cs="Times New Roman"/>
          <w:b/>
          <w:sz w:val="24"/>
          <w:szCs w:val="24"/>
          <w:lang w:eastAsia="lv-LV"/>
        </w:rPr>
        <w:t xml:space="preserve"> </w:t>
      </w:r>
      <w:bookmarkEnd w:id="19"/>
      <w:r w:rsidRPr="00046FC6">
        <w:rPr>
          <w:rFonts w:ascii="Times New Roman" w:eastAsia="Times New Roman" w:hAnsi="Times New Roman" w:cs="Times New Roman"/>
          <w:b/>
          <w:sz w:val="24"/>
          <w:szCs w:val="24"/>
          <w:lang w:eastAsia="lv-LV"/>
        </w:rPr>
        <w:t>42.</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b)</w:t>
      </w:r>
      <w:r w:rsidR="007E6E7B"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00AE0865" w14:textId="0EB4C3DD" w:rsidR="007E6E7B" w:rsidRPr="00046FC6" w:rsidRDefault="00192BCB"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Atbilstoši </w:t>
      </w:r>
      <w:r w:rsidR="007E6E7B" w:rsidRPr="00046FC6">
        <w:rPr>
          <w:rFonts w:ascii="Times New Roman" w:eastAsia="Times New Roman" w:hAnsi="Times New Roman" w:cs="Times New Roman"/>
          <w:bCs/>
          <w:sz w:val="24"/>
          <w:szCs w:val="24"/>
          <w:lang w:eastAsia="lv-LV"/>
        </w:rPr>
        <w:t xml:space="preserve">Regulas Nr. 600/2014 </w:t>
      </w:r>
      <w:r w:rsidR="00843A49" w:rsidRPr="00046FC6">
        <w:rPr>
          <w:rFonts w:ascii="Times New Roman" w:eastAsia="Times New Roman" w:hAnsi="Times New Roman" w:cs="Times New Roman"/>
          <w:bCs/>
          <w:sz w:val="24"/>
          <w:szCs w:val="24"/>
          <w:lang w:eastAsia="lv-LV"/>
        </w:rPr>
        <w:t>42.</w:t>
      </w:r>
      <w:r w:rsidR="007E6E7B"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2.</w:t>
      </w:r>
      <w:r w:rsidR="007E6E7B"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punkta b)</w:t>
      </w:r>
      <w:r w:rsidR="007E6E7B"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apakšpunkt</w:t>
      </w:r>
      <w:r w:rsidRPr="00046FC6">
        <w:rPr>
          <w:rFonts w:ascii="Times New Roman" w:eastAsia="Times New Roman" w:hAnsi="Times New Roman" w:cs="Times New Roman"/>
          <w:bCs/>
          <w:sz w:val="24"/>
          <w:szCs w:val="24"/>
          <w:lang w:eastAsia="lv-LV"/>
        </w:rPr>
        <w:t>am</w:t>
      </w:r>
      <w:r w:rsidR="00843A49" w:rsidRPr="00046FC6">
        <w:rPr>
          <w:rFonts w:ascii="Times New Roman" w:eastAsia="Times New Roman" w:hAnsi="Times New Roman" w:cs="Times New Roman"/>
          <w:bCs/>
          <w:sz w:val="24"/>
          <w:szCs w:val="24"/>
          <w:lang w:eastAsia="lv-LV"/>
        </w:rPr>
        <w:t xml:space="preserve"> Latvijas Banka ir vērtējusi, vai Eiropas Savienībā spēkā esošās regulējošās prasības, kas piemērojamas attiecīgajam finanšu instrumentam vai darbībai, nenovērsīs draudus. Latvijas Banka ir ņēmusi vērā piemērojamās spēkā esošās regulatīvās prasības, kas noteiktas Finanšu instrumentu tirgus likumā, </w:t>
      </w:r>
      <w:r w:rsidR="007E6E7B" w:rsidRPr="00046FC6">
        <w:rPr>
          <w:rFonts w:ascii="Times New Roman" w:eastAsia="Times New Roman" w:hAnsi="Times New Roman" w:cs="Times New Roman"/>
          <w:bCs/>
          <w:sz w:val="24"/>
          <w:szCs w:val="24"/>
          <w:lang w:eastAsia="lv-LV"/>
        </w:rPr>
        <w:t xml:space="preserve">Regulā Nr. 600/2014 </w:t>
      </w:r>
      <w:r w:rsidR="00843A49" w:rsidRPr="00046FC6">
        <w:rPr>
          <w:rFonts w:ascii="Times New Roman" w:eastAsia="Times New Roman" w:hAnsi="Times New Roman" w:cs="Times New Roman"/>
          <w:bCs/>
          <w:sz w:val="24"/>
          <w:szCs w:val="24"/>
          <w:lang w:eastAsia="lv-LV"/>
        </w:rPr>
        <w:t xml:space="preserve">un PRIIPs regulā. </w:t>
      </w:r>
      <w:r w:rsidR="006D6421" w:rsidRPr="00046FC6">
        <w:rPr>
          <w:rFonts w:ascii="Times New Roman" w:eastAsia="Times New Roman" w:hAnsi="Times New Roman" w:cs="Times New Roman"/>
          <w:bCs/>
          <w:sz w:val="24"/>
          <w:szCs w:val="24"/>
          <w:lang w:eastAsia="lv-LV"/>
        </w:rPr>
        <w:t>Ī</w:t>
      </w:r>
      <w:r w:rsidR="00843A49" w:rsidRPr="00046FC6">
        <w:rPr>
          <w:rFonts w:ascii="Times New Roman" w:eastAsia="Times New Roman" w:hAnsi="Times New Roman" w:cs="Times New Roman"/>
          <w:bCs/>
          <w:sz w:val="24"/>
          <w:szCs w:val="24"/>
          <w:lang w:eastAsia="lv-LV"/>
        </w:rPr>
        <w:t>paši tas ietver:</w:t>
      </w:r>
    </w:p>
    <w:p w14:paraId="34EE70ED" w14:textId="3A6F0732" w:rsidR="007E6E7B" w:rsidRPr="00046FC6" w:rsidRDefault="00843A49" w:rsidP="00046FC6">
      <w:pPr>
        <w:pStyle w:val="ListParagraph"/>
        <w:numPr>
          <w:ilvl w:val="0"/>
          <w:numId w:val="12"/>
        </w:numPr>
        <w:tabs>
          <w:tab w:val="decimal" w:pos="426"/>
          <w:tab w:val="left" w:pos="709"/>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lastRenderedPageBreak/>
        <w:t>prasību sniegt klientiem atbilstošu informāciju saskaņā ar Finanšu instrumentu tirgus likuma 128.</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piekto un sesto daļu;</w:t>
      </w:r>
    </w:p>
    <w:p w14:paraId="347BD14B" w14:textId="77777777" w:rsidR="007E6E7B" w:rsidRPr="00046FC6" w:rsidRDefault="00843A49" w:rsidP="00046FC6">
      <w:pPr>
        <w:pStyle w:val="ListParagraph"/>
        <w:numPr>
          <w:ilvl w:val="0"/>
          <w:numId w:val="12"/>
        </w:numPr>
        <w:tabs>
          <w:tab w:val="decimal" w:pos="426"/>
          <w:tab w:val="left" w:pos="709"/>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Finanšu instrumentu tirgus likuma 126.</w:t>
      </w:r>
      <w:r w:rsidRPr="00046FC6">
        <w:rPr>
          <w:rFonts w:ascii="Times New Roman" w:eastAsia="Times New Roman" w:hAnsi="Times New Roman" w:cs="Times New Roman"/>
          <w:bCs/>
          <w:sz w:val="24"/>
          <w:szCs w:val="24"/>
          <w:vertAlign w:val="superscript"/>
          <w:lang w:eastAsia="lv-LV"/>
        </w:rPr>
        <w:t>2</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pirm</w:t>
      </w:r>
      <w:r w:rsidR="007E6E7B" w:rsidRPr="00046FC6">
        <w:rPr>
          <w:rFonts w:ascii="Times New Roman" w:eastAsia="Times New Roman" w:hAnsi="Times New Roman" w:cs="Times New Roman"/>
          <w:bCs/>
          <w:sz w:val="24"/>
          <w:szCs w:val="24"/>
          <w:lang w:eastAsia="lv-LV"/>
        </w:rPr>
        <w:t xml:space="preserve">ajā </w:t>
      </w:r>
      <w:r w:rsidRPr="00046FC6">
        <w:rPr>
          <w:rFonts w:ascii="Times New Roman" w:eastAsia="Times New Roman" w:hAnsi="Times New Roman" w:cs="Times New Roman"/>
          <w:bCs/>
          <w:sz w:val="24"/>
          <w:szCs w:val="24"/>
          <w:lang w:eastAsia="lv-LV"/>
        </w:rPr>
        <w:t>un 1</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t>1</w:t>
      </w:r>
      <w:r w:rsidR="007E6E7B" w:rsidRPr="00046FC6">
        <w:rPr>
          <w:rFonts w:ascii="Times New Roman" w:eastAsia="Times New Roman" w:hAnsi="Times New Roman" w:cs="Times New Roman"/>
          <w:bCs/>
          <w:sz w:val="24"/>
          <w:szCs w:val="24"/>
          <w:vertAlign w:val="superscript"/>
          <w:lang w:eastAsia="lv-LV"/>
        </w:rPr>
        <w:t> </w:t>
      </w:r>
      <w:r w:rsidRPr="00046FC6">
        <w:rPr>
          <w:rFonts w:ascii="Times New Roman" w:eastAsia="Times New Roman" w:hAnsi="Times New Roman" w:cs="Times New Roman"/>
          <w:bCs/>
          <w:sz w:val="24"/>
          <w:szCs w:val="24"/>
          <w:lang w:eastAsia="lv-LV"/>
        </w:rPr>
        <w:t>daļā noteiktās atbilstības un piemērotības prasības;</w:t>
      </w:r>
    </w:p>
    <w:p w14:paraId="6D537D5A" w14:textId="6ACB73E8" w:rsidR="007E6E7B" w:rsidRPr="00046FC6" w:rsidRDefault="00843A49" w:rsidP="00046FC6">
      <w:pPr>
        <w:pStyle w:val="ListParagraph"/>
        <w:numPr>
          <w:ilvl w:val="0"/>
          <w:numId w:val="12"/>
        </w:numPr>
        <w:tabs>
          <w:tab w:val="decimal" w:pos="426"/>
          <w:tab w:val="left" w:pos="709"/>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Finanšu instrumentu tirgus likuma 128.</w:t>
      </w:r>
      <w:r w:rsidRPr="00046FC6">
        <w:rPr>
          <w:rFonts w:ascii="Times New Roman" w:eastAsia="Times New Roman" w:hAnsi="Times New Roman" w:cs="Times New Roman"/>
          <w:bCs/>
          <w:sz w:val="24"/>
          <w:szCs w:val="24"/>
          <w:vertAlign w:val="superscript"/>
          <w:lang w:eastAsia="lv-LV"/>
        </w:rPr>
        <w:t>2</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pantā noteiktās labāko rezultātu nodrošināšana</w:t>
      </w:r>
      <w:r w:rsidR="00EF3B17"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klientam prasības;</w:t>
      </w:r>
    </w:p>
    <w:p w14:paraId="003BE383" w14:textId="09151E56" w:rsidR="007E6E7B" w:rsidRPr="00046FC6" w:rsidRDefault="00843A49" w:rsidP="00046FC6">
      <w:pPr>
        <w:pStyle w:val="ListParagraph"/>
        <w:numPr>
          <w:ilvl w:val="0"/>
          <w:numId w:val="12"/>
        </w:numPr>
        <w:tabs>
          <w:tab w:val="decimal" w:pos="426"/>
          <w:tab w:val="left" w:pos="709"/>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produktu pārvaldības prasības, kas noteiktas Finanšu instrumentu tirgu</w:t>
      </w:r>
      <w:r w:rsidR="006D6421"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likuma 127.</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vienpadsmitajā daļā un 128.</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1</w:t>
      </w:r>
      <w:r w:rsidR="007E6E7B"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t>1</w:t>
      </w:r>
      <w:r w:rsidRPr="00046FC6">
        <w:rPr>
          <w:rFonts w:ascii="Times New Roman" w:eastAsia="Times New Roman" w:hAnsi="Times New Roman" w:cs="Times New Roman"/>
          <w:bCs/>
          <w:sz w:val="24"/>
          <w:szCs w:val="24"/>
          <w:lang w:eastAsia="lv-LV"/>
        </w:rPr>
        <w:t xml:space="preserve"> un 1</w:t>
      </w:r>
      <w:r w:rsidR="007E6E7B" w:rsidRPr="00046FC6">
        <w:rPr>
          <w:rFonts w:ascii="Times New Roman" w:eastAsia="Times New Roman" w:hAnsi="Times New Roman" w:cs="Times New Roman"/>
          <w:bCs/>
          <w:sz w:val="24"/>
          <w:szCs w:val="24"/>
          <w:lang w:eastAsia="lv-LV"/>
        </w:rPr>
        <w:t>.</w:t>
      </w:r>
      <w:r w:rsidR="003608DB" w:rsidRPr="00046FC6">
        <w:rPr>
          <w:rFonts w:ascii="Times New Roman" w:eastAsia="Times New Roman" w:hAnsi="Times New Roman" w:cs="Times New Roman"/>
          <w:bCs/>
          <w:sz w:val="24"/>
          <w:szCs w:val="24"/>
          <w:vertAlign w:val="superscript"/>
          <w:lang w:eastAsia="lv-LV"/>
        </w:rPr>
        <w:t>2</w:t>
      </w:r>
      <w:r w:rsidR="007E6E7B" w:rsidRPr="00046FC6">
        <w:rPr>
          <w:rFonts w:ascii="Times New Roman" w:eastAsia="Times New Roman" w:hAnsi="Times New Roman" w:cs="Times New Roman"/>
          <w:bCs/>
          <w:sz w:val="24"/>
          <w:szCs w:val="24"/>
          <w:vertAlign w:val="superscript"/>
          <w:lang w:eastAsia="lv-LV"/>
        </w:rPr>
        <w:t> </w:t>
      </w:r>
      <w:r w:rsidRPr="00046FC6">
        <w:rPr>
          <w:rFonts w:ascii="Times New Roman" w:eastAsia="Times New Roman" w:hAnsi="Times New Roman" w:cs="Times New Roman"/>
          <w:bCs/>
          <w:sz w:val="24"/>
          <w:szCs w:val="24"/>
          <w:lang w:eastAsia="lv-LV"/>
        </w:rPr>
        <w:t>daļā;</w:t>
      </w:r>
    </w:p>
    <w:p w14:paraId="575FFA13" w14:textId="7B5590A8" w:rsidR="00843A49" w:rsidRPr="00046FC6" w:rsidRDefault="00843A49" w:rsidP="00046FC6">
      <w:pPr>
        <w:pStyle w:val="ListParagraph"/>
        <w:numPr>
          <w:ilvl w:val="0"/>
          <w:numId w:val="12"/>
        </w:numPr>
        <w:tabs>
          <w:tab w:val="decimal" w:pos="426"/>
          <w:tab w:val="left" w:pos="709"/>
        </w:tabs>
        <w:spacing w:after="120" w:line="240" w:lineRule="auto"/>
        <w:ind w:left="709" w:hanging="349"/>
        <w:contextualSpacing w:val="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PRIIP</w:t>
      </w:r>
      <w:r w:rsidR="0047783C"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regulas 5.–14.</w:t>
      </w:r>
      <w:r w:rsidR="007E6E7B"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pantā noteiktās informācijas atklāšanas prasības.</w:t>
      </w:r>
    </w:p>
    <w:p w14:paraId="4477ADAE" w14:textId="47CAB499"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uzskata, ka spēkā esošās regulatīvās prasības pietiekami nenovērš ievērojamās bažas par ieguldītāju aizsardzību, kas izriet no </w:t>
      </w:r>
      <w:r w:rsidR="00B8619E" w:rsidRPr="00046FC6">
        <w:rPr>
          <w:rFonts w:ascii="Times New Roman" w:eastAsia="Times New Roman" w:hAnsi="Times New Roman" w:cs="Times New Roman"/>
          <w:bCs/>
          <w:sz w:val="24"/>
          <w:szCs w:val="24"/>
          <w:lang w:eastAsia="lv-LV"/>
        </w:rPr>
        <w:t xml:space="preserve">līgumu par starpību </w:t>
      </w:r>
      <w:r w:rsidRPr="00046FC6">
        <w:rPr>
          <w:rFonts w:ascii="Times New Roman" w:eastAsia="Times New Roman" w:hAnsi="Times New Roman" w:cs="Times New Roman"/>
          <w:bCs/>
          <w:sz w:val="24"/>
          <w:szCs w:val="24"/>
          <w:lang w:eastAsia="lv-LV"/>
        </w:rPr>
        <w:t>pazīmēm un EVTI un citu dalībvalstu uzraudzības iestāžu pierādījumiem par privāto klientu vēsturiski lieliem zaudējumiem.</w:t>
      </w:r>
    </w:p>
    <w:p w14:paraId="70A60028" w14:textId="39FB95E8"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ir ņēmusi vērā PRIIPs regulā noteiktās informācijas atklāšanas prasības un secinājusi, ka informācijas </w:t>
      </w:r>
      <w:r w:rsidR="00564D93" w:rsidRPr="00046FC6">
        <w:rPr>
          <w:rFonts w:ascii="Times New Roman" w:eastAsia="Times New Roman" w:hAnsi="Times New Roman" w:cs="Times New Roman"/>
          <w:bCs/>
          <w:sz w:val="24"/>
          <w:szCs w:val="24"/>
          <w:lang w:eastAsia="lv-LV"/>
        </w:rPr>
        <w:t xml:space="preserve">par komplektētu privāto ieguldījumu un apdrošināšanas ieguldījumu produktu </w:t>
      </w:r>
      <w:r w:rsidRPr="00046FC6">
        <w:rPr>
          <w:rFonts w:ascii="Times New Roman" w:eastAsia="Times New Roman" w:hAnsi="Times New Roman" w:cs="Times New Roman"/>
          <w:bCs/>
          <w:sz w:val="24"/>
          <w:szCs w:val="24"/>
          <w:lang w:eastAsia="lv-LV"/>
        </w:rPr>
        <w:t xml:space="preserve">atklāšanas prasības pietiekami nepievērš privāto klientu uzmanību sekām, ko rada ieguldījumi līgumos par starpību. </w:t>
      </w:r>
      <w:r w:rsidR="006D6421" w:rsidRPr="00046FC6">
        <w:rPr>
          <w:rFonts w:ascii="Times New Roman" w:eastAsia="Times New Roman" w:hAnsi="Times New Roman" w:cs="Times New Roman"/>
          <w:bCs/>
          <w:sz w:val="24"/>
          <w:szCs w:val="24"/>
          <w:lang w:eastAsia="lv-LV"/>
        </w:rPr>
        <w:t>Ī</w:t>
      </w:r>
      <w:r w:rsidRPr="00046FC6">
        <w:rPr>
          <w:rFonts w:ascii="Times New Roman" w:eastAsia="Times New Roman" w:hAnsi="Times New Roman" w:cs="Times New Roman"/>
          <w:bCs/>
          <w:sz w:val="24"/>
          <w:szCs w:val="24"/>
          <w:lang w:eastAsia="lv-LV"/>
        </w:rPr>
        <w:t xml:space="preserve">paši informācijas </w:t>
      </w:r>
      <w:r w:rsidR="00564D93" w:rsidRPr="00046FC6">
        <w:rPr>
          <w:rFonts w:ascii="Times New Roman" w:eastAsia="Times New Roman" w:hAnsi="Times New Roman" w:cs="Times New Roman"/>
          <w:bCs/>
          <w:sz w:val="24"/>
          <w:szCs w:val="24"/>
          <w:lang w:eastAsia="lv-LV"/>
        </w:rPr>
        <w:t xml:space="preserve">par komplektētu privāto ieguldījumu un apdrošināšanas ieguldījumu produktu </w:t>
      </w:r>
      <w:r w:rsidRPr="00046FC6">
        <w:rPr>
          <w:rFonts w:ascii="Times New Roman" w:eastAsia="Times New Roman" w:hAnsi="Times New Roman" w:cs="Times New Roman"/>
          <w:bCs/>
          <w:sz w:val="24"/>
          <w:szCs w:val="24"/>
          <w:lang w:eastAsia="lv-LV"/>
        </w:rPr>
        <w:t>atklāšanas prasības ne</w:t>
      </w:r>
      <w:r w:rsidR="006D43CF" w:rsidRPr="00046FC6">
        <w:rPr>
          <w:rFonts w:ascii="Times New Roman" w:eastAsia="Times New Roman" w:hAnsi="Times New Roman" w:cs="Times New Roman"/>
          <w:bCs/>
          <w:sz w:val="24"/>
          <w:szCs w:val="24"/>
          <w:lang w:eastAsia="lv-LV"/>
        </w:rPr>
        <w:t>nodrošina, ka</w:t>
      </w:r>
      <w:r w:rsidRPr="00046FC6">
        <w:rPr>
          <w:rFonts w:ascii="Times New Roman" w:eastAsia="Times New Roman" w:hAnsi="Times New Roman" w:cs="Times New Roman"/>
          <w:bCs/>
          <w:sz w:val="24"/>
          <w:szCs w:val="24"/>
          <w:lang w:eastAsia="lv-LV"/>
        </w:rPr>
        <w:t xml:space="preserve"> informācij</w:t>
      </w:r>
      <w:r w:rsidR="006D43CF"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par to privāto klientu kontu kopējo procentuālo daļu, kuri zaudē naudu, tirgojot līgumu</w:t>
      </w:r>
      <w:r w:rsidR="00B8619E"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par starpību ar konkrētu sabiedrību, </w:t>
      </w:r>
      <w:r w:rsidR="006D43CF" w:rsidRPr="00046FC6">
        <w:rPr>
          <w:rFonts w:ascii="Times New Roman" w:eastAsia="Times New Roman" w:hAnsi="Times New Roman" w:cs="Times New Roman"/>
          <w:bCs/>
          <w:sz w:val="24"/>
          <w:szCs w:val="24"/>
          <w:lang w:eastAsia="lv-LV"/>
        </w:rPr>
        <w:t xml:space="preserve">klientam tiek sniegta </w:t>
      </w:r>
      <w:r w:rsidRPr="00046FC6">
        <w:rPr>
          <w:rFonts w:ascii="Times New Roman" w:eastAsia="Times New Roman" w:hAnsi="Times New Roman" w:cs="Times New Roman"/>
          <w:bCs/>
          <w:sz w:val="24"/>
          <w:szCs w:val="24"/>
          <w:lang w:eastAsia="lv-LV"/>
        </w:rPr>
        <w:t>kā atsevišķ</w:t>
      </w:r>
      <w:r w:rsidR="006D43CF"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informācija</w:t>
      </w:r>
      <w:r w:rsidR="006D43CF"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Latvijas Banka uzskata</w:t>
      </w:r>
      <w:r w:rsidR="006D43CF" w:rsidRPr="00046FC6">
        <w:rPr>
          <w:rFonts w:ascii="Times New Roman" w:eastAsia="Times New Roman" w:hAnsi="Times New Roman" w:cs="Times New Roman"/>
          <w:bCs/>
          <w:sz w:val="24"/>
          <w:szCs w:val="24"/>
          <w:lang w:eastAsia="lv-LV"/>
        </w:rPr>
        <w:t>, ka tā būtu</w:t>
      </w:r>
      <w:r w:rsidRPr="00046FC6">
        <w:rPr>
          <w:rFonts w:ascii="Times New Roman" w:eastAsia="Times New Roman" w:hAnsi="Times New Roman" w:cs="Times New Roman"/>
          <w:bCs/>
          <w:sz w:val="24"/>
          <w:szCs w:val="24"/>
          <w:lang w:eastAsia="lv-LV"/>
        </w:rPr>
        <w:t xml:space="preserve"> efektīv</w:t>
      </w:r>
      <w:r w:rsidR="006D43CF"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un mērķtiecīg</w:t>
      </w:r>
      <w:r w:rsidR="006D43CF"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informācijas atklāšan</w:t>
      </w:r>
      <w:r w:rsidR="006D43CF"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jo īpaši tiešsaistes vidē.</w:t>
      </w:r>
    </w:p>
    <w:p w14:paraId="42306E98" w14:textId="7A3886FE" w:rsidR="00843A49" w:rsidRPr="00046FC6" w:rsidRDefault="00B8619E"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w:t>
      </w:r>
      <w:r w:rsidR="00843A49" w:rsidRPr="00046FC6">
        <w:rPr>
          <w:rFonts w:ascii="Times New Roman" w:eastAsia="Times New Roman" w:hAnsi="Times New Roman" w:cs="Times New Roman"/>
          <w:bCs/>
          <w:sz w:val="24"/>
          <w:szCs w:val="24"/>
          <w:lang w:eastAsia="lv-LV"/>
        </w:rPr>
        <w:t>īgumi par starpību ir uzskatāmi par sarežģītiem finanšu instrumentiem, un tāpēc uz tiem attiecas atbilstības pārbaude saskaņā ar Finanšu instrumentu tirgus likuma 126.</w:t>
      </w:r>
      <w:r w:rsidR="00843A49" w:rsidRPr="00046FC6">
        <w:rPr>
          <w:rFonts w:ascii="Times New Roman" w:eastAsia="Times New Roman" w:hAnsi="Times New Roman" w:cs="Times New Roman"/>
          <w:bCs/>
          <w:sz w:val="24"/>
          <w:szCs w:val="24"/>
          <w:vertAlign w:val="superscript"/>
          <w:lang w:eastAsia="lv-LV"/>
        </w:rPr>
        <w:t>2</w:t>
      </w:r>
      <w:r w:rsidR="005F593D"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pirmo daļu. Attiecībā uz likumā noteikto līgum</w:t>
      </w:r>
      <w:r w:rsidR="006D6421" w:rsidRPr="00046FC6">
        <w:rPr>
          <w:rFonts w:ascii="Times New Roman" w:eastAsia="Times New Roman" w:hAnsi="Times New Roman" w:cs="Times New Roman"/>
          <w:bCs/>
          <w:sz w:val="24"/>
          <w:szCs w:val="24"/>
          <w:lang w:eastAsia="lv-LV"/>
        </w:rPr>
        <w:t>a</w:t>
      </w:r>
      <w:r w:rsidR="00843A49" w:rsidRPr="00046FC6">
        <w:rPr>
          <w:rFonts w:ascii="Times New Roman" w:eastAsia="Times New Roman" w:hAnsi="Times New Roman" w:cs="Times New Roman"/>
          <w:bCs/>
          <w:sz w:val="24"/>
          <w:szCs w:val="24"/>
          <w:lang w:eastAsia="lv-LV"/>
        </w:rPr>
        <w:t xml:space="preserve"> par starpību </w:t>
      </w:r>
      <w:r w:rsidR="006D6421" w:rsidRPr="00046FC6">
        <w:rPr>
          <w:rFonts w:ascii="Times New Roman" w:eastAsia="Times New Roman" w:hAnsi="Times New Roman" w:cs="Times New Roman"/>
          <w:bCs/>
          <w:sz w:val="24"/>
          <w:szCs w:val="24"/>
          <w:lang w:eastAsia="lv-LV"/>
        </w:rPr>
        <w:t xml:space="preserve">kā </w:t>
      </w:r>
      <w:r w:rsidR="00843A49" w:rsidRPr="00046FC6">
        <w:rPr>
          <w:rFonts w:ascii="Times New Roman" w:eastAsia="Times New Roman" w:hAnsi="Times New Roman" w:cs="Times New Roman"/>
          <w:bCs/>
          <w:sz w:val="24"/>
          <w:szCs w:val="24"/>
          <w:lang w:eastAsia="lv-LV"/>
        </w:rPr>
        <w:t>ieguldījumu pakalpojuma atbilstīb</w:t>
      </w:r>
      <w:r w:rsidR="006D6421" w:rsidRPr="00046FC6">
        <w:rPr>
          <w:rFonts w:ascii="Times New Roman" w:eastAsia="Times New Roman" w:hAnsi="Times New Roman" w:cs="Times New Roman"/>
          <w:bCs/>
          <w:sz w:val="24"/>
          <w:szCs w:val="24"/>
          <w:lang w:eastAsia="lv-LV"/>
        </w:rPr>
        <w:t>as</w:t>
      </w:r>
      <w:r w:rsidR="00843A49" w:rsidRPr="00046FC6">
        <w:rPr>
          <w:rFonts w:ascii="Times New Roman" w:eastAsia="Times New Roman" w:hAnsi="Times New Roman" w:cs="Times New Roman"/>
          <w:bCs/>
          <w:sz w:val="24"/>
          <w:szCs w:val="24"/>
          <w:lang w:eastAsia="lv-LV"/>
        </w:rPr>
        <w:t xml:space="preserve"> klientam noteikšanu Latvijas Bankas uzraudzības pieredze liecina, ka atbilstības pārbaude praksē netiek veikta pietiekami. </w:t>
      </w:r>
      <w:r w:rsidRPr="00046FC6">
        <w:rPr>
          <w:rFonts w:ascii="Times New Roman" w:eastAsia="Times New Roman" w:hAnsi="Times New Roman" w:cs="Times New Roman"/>
          <w:bCs/>
          <w:sz w:val="24"/>
          <w:szCs w:val="24"/>
          <w:lang w:eastAsia="lv-LV"/>
        </w:rPr>
        <w:t>L</w:t>
      </w:r>
      <w:r w:rsidR="00843A49" w:rsidRPr="00046FC6">
        <w:rPr>
          <w:rFonts w:ascii="Times New Roman" w:eastAsia="Times New Roman" w:hAnsi="Times New Roman" w:cs="Times New Roman"/>
          <w:bCs/>
          <w:sz w:val="24"/>
          <w:szCs w:val="24"/>
          <w:lang w:eastAsia="lv-LV"/>
        </w:rPr>
        <w:t xml:space="preserve">īgumu par starpību tirdzniecība galvenokārt notiek, izmantojot elektroniskās platformas, bez ieguldījumu konsultāciju sniegšanas vai portfeļa pārvaldības pakalpojuma sniegšanas, un tāpēc </w:t>
      </w:r>
      <w:r w:rsidR="00FC5E08" w:rsidRPr="00046FC6">
        <w:rPr>
          <w:rFonts w:ascii="Times New Roman" w:eastAsia="Times New Roman" w:hAnsi="Times New Roman" w:cs="Times New Roman"/>
          <w:bCs/>
          <w:sz w:val="24"/>
          <w:szCs w:val="24"/>
          <w:lang w:eastAsia="lv-LV"/>
        </w:rPr>
        <w:t>Finanšu instrumentu tirgus likuma</w:t>
      </w:r>
      <w:r w:rsidR="00843A49" w:rsidRPr="00046FC6">
        <w:rPr>
          <w:rFonts w:ascii="Times New Roman" w:eastAsia="Times New Roman" w:hAnsi="Times New Roman" w:cs="Times New Roman"/>
          <w:bCs/>
          <w:sz w:val="24"/>
          <w:szCs w:val="24"/>
          <w:lang w:eastAsia="lv-LV"/>
        </w:rPr>
        <w:t xml:space="preserve"> piemērotības prasības netiek piemērotas. Latvijas Banka secina, ka tāpēc gan atbilstības, gan piemērotības pārbaudes saskaņā ar spēkā esošajām normatīvajām prasībām, visticamāk, neatturēs privātos klientus no līgumu par starpību tirdzniecības tādā veidā, kas nodrošina, ka tiek novērstas ievērojamas bažas par ieguldītāju aizsardzību.</w:t>
      </w:r>
    </w:p>
    <w:p w14:paraId="0C7088A2" w14:textId="4E12D7BD"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Latvijas Banka ir vērtējusi, vai labāko rezultātu nodrošināšana</w:t>
      </w:r>
      <w:r w:rsidR="00B8619E" w:rsidRPr="00046FC6">
        <w:rPr>
          <w:rFonts w:ascii="Times New Roman" w:eastAsia="Times New Roman" w:hAnsi="Times New Roman" w:cs="Times New Roman"/>
          <w:bCs/>
          <w:sz w:val="24"/>
          <w:szCs w:val="24"/>
          <w:lang w:eastAsia="lv-LV"/>
        </w:rPr>
        <w:t>s</w:t>
      </w:r>
      <w:r w:rsidRPr="00046FC6">
        <w:rPr>
          <w:rFonts w:ascii="Times New Roman" w:eastAsia="Times New Roman" w:hAnsi="Times New Roman" w:cs="Times New Roman"/>
          <w:bCs/>
          <w:sz w:val="24"/>
          <w:szCs w:val="24"/>
          <w:lang w:eastAsia="lv-LV"/>
        </w:rPr>
        <w:t xml:space="preserve"> klientam noteikumi varētu novērst vismaz dažas no bažām, kas konstatētas saistībā ar līgumu par starpību </w:t>
      </w:r>
      <w:r w:rsidRPr="00046FC6">
        <w:rPr>
          <w:rFonts w:ascii="Times New Roman" w:eastAsia="Times New Roman" w:hAnsi="Times New Roman" w:cs="Times New Roman"/>
          <w:sz w:val="24"/>
          <w:szCs w:val="24"/>
          <w:lang w:eastAsia="lv-LV"/>
        </w:rPr>
        <w:t xml:space="preserve">reklamēšanu, izplatīšanu vai pārdošanu </w:t>
      </w:r>
      <w:r w:rsidRPr="00046FC6">
        <w:rPr>
          <w:rFonts w:ascii="Times New Roman" w:eastAsia="Times New Roman" w:hAnsi="Times New Roman" w:cs="Times New Roman"/>
          <w:bCs/>
          <w:sz w:val="24"/>
          <w:szCs w:val="24"/>
          <w:lang w:eastAsia="lv-LV"/>
        </w:rPr>
        <w:t>privātiem klientiem, un ir secinājusi, ka labāko rezultātu nodrošināšanas noteikumi paši par sevi ne</w:t>
      </w:r>
      <w:r w:rsidR="00DF2E9C" w:rsidRPr="00046FC6">
        <w:rPr>
          <w:rFonts w:ascii="Times New Roman" w:eastAsia="Times New Roman" w:hAnsi="Times New Roman" w:cs="Times New Roman"/>
          <w:bCs/>
          <w:sz w:val="24"/>
          <w:szCs w:val="24"/>
          <w:lang w:eastAsia="lv-LV"/>
        </w:rPr>
        <w:t>novērš</w:t>
      </w:r>
      <w:r w:rsidRPr="00046FC6">
        <w:rPr>
          <w:rFonts w:ascii="Times New Roman" w:eastAsia="Times New Roman" w:hAnsi="Times New Roman" w:cs="Times New Roman"/>
          <w:bCs/>
          <w:sz w:val="24"/>
          <w:szCs w:val="24"/>
          <w:lang w:eastAsia="lv-LV"/>
        </w:rPr>
        <w:t xml:space="preserve"> riskus, kas saistīti ar š</w:t>
      </w:r>
      <w:r w:rsidR="00B8619E" w:rsidRPr="00046FC6">
        <w:rPr>
          <w:rFonts w:ascii="Times New Roman" w:eastAsia="Times New Roman" w:hAnsi="Times New Roman" w:cs="Times New Roman"/>
          <w:bCs/>
          <w:sz w:val="24"/>
          <w:szCs w:val="24"/>
          <w:lang w:eastAsia="lv-LV"/>
        </w:rPr>
        <w:t>ā</w:t>
      </w:r>
      <w:r w:rsidRPr="00046FC6">
        <w:rPr>
          <w:rFonts w:ascii="Times New Roman" w:eastAsia="Times New Roman" w:hAnsi="Times New Roman" w:cs="Times New Roman"/>
          <w:bCs/>
          <w:sz w:val="24"/>
          <w:szCs w:val="24"/>
          <w:lang w:eastAsia="lv-LV"/>
        </w:rPr>
        <w:t xml:space="preserve"> produkta īpašībām un t</w:t>
      </w:r>
      <w:r w:rsidR="00DF2E9C" w:rsidRPr="00046FC6">
        <w:rPr>
          <w:rFonts w:ascii="Times New Roman" w:eastAsia="Times New Roman" w:hAnsi="Times New Roman" w:cs="Times New Roman"/>
          <w:bCs/>
          <w:sz w:val="24"/>
          <w:szCs w:val="24"/>
          <w:lang w:eastAsia="lv-LV"/>
        </w:rPr>
        <w:t>ā</w:t>
      </w:r>
      <w:r w:rsidRPr="00046FC6">
        <w:rPr>
          <w:rFonts w:ascii="Times New Roman" w:eastAsia="Times New Roman" w:hAnsi="Times New Roman" w:cs="Times New Roman"/>
          <w:bCs/>
          <w:sz w:val="24"/>
          <w:szCs w:val="24"/>
          <w:lang w:eastAsia="lv-LV"/>
        </w:rPr>
        <w:t xml:space="preserve"> plašo izplatīšanu vai pārdošan</w:t>
      </w:r>
      <w:r w:rsidR="00B8619E"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privātiem klientiem, izņemot darījumu izpildi.</w:t>
      </w:r>
    </w:p>
    <w:p w14:paraId="45E85C5E" w14:textId="61F40F2F"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Attiecībā uz produktu pārvaldības prasībām Latvijas Banka ir secinājusi, ka šīs prasības nenovērš galvenos riskus, kas saistīti ar produkta iezīmēm (piemēram, augsts kredītplecs) vai saistīto praksi (piemēram, bonusu piedāvājumi). Tie arī nenosaka īpašus un vienotus ierobežojumus </w:t>
      </w:r>
      <w:r w:rsidRPr="00046FC6">
        <w:rPr>
          <w:rFonts w:ascii="Times New Roman" w:eastAsia="Times New Roman" w:hAnsi="Times New Roman" w:cs="Times New Roman"/>
          <w:sz w:val="24"/>
          <w:lang w:eastAsia="lv-LV"/>
        </w:rPr>
        <w:t>līgumu par starpību</w:t>
      </w:r>
      <w:r w:rsidRPr="00046FC6">
        <w:rPr>
          <w:rFonts w:ascii="Times New Roman" w:eastAsia="Times New Roman" w:hAnsi="Times New Roman" w:cs="Times New Roman"/>
          <w:bCs/>
          <w:sz w:val="24"/>
          <w:szCs w:val="24"/>
          <w:lang w:eastAsia="lv-LV"/>
        </w:rPr>
        <w:t xml:space="preserve"> izplatīšanai. Tā vietā zaudējumi klientiem parāda, ka </w:t>
      </w:r>
      <w:r w:rsidRPr="00046FC6">
        <w:rPr>
          <w:rFonts w:ascii="Times New Roman" w:eastAsia="Times New Roman" w:hAnsi="Times New Roman" w:cs="Times New Roman"/>
          <w:sz w:val="24"/>
          <w:lang w:eastAsia="lv-LV"/>
        </w:rPr>
        <w:t>līgumu par starpību</w:t>
      </w:r>
      <w:r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szCs w:val="24"/>
          <w:lang w:eastAsia="lv-LV"/>
        </w:rPr>
        <w:t xml:space="preserve">reklamēšana, izplatīšana vai pārdošana </w:t>
      </w:r>
      <w:r w:rsidRPr="00046FC6">
        <w:rPr>
          <w:rFonts w:ascii="Times New Roman" w:eastAsia="Times New Roman" w:hAnsi="Times New Roman" w:cs="Times New Roman"/>
          <w:bCs/>
          <w:sz w:val="24"/>
          <w:szCs w:val="24"/>
          <w:lang w:eastAsia="lv-LV"/>
        </w:rPr>
        <w:t>nav piemērota privāto klientu masu tirgum, ja vien to nepavada noteikti ierobežojumi, kuri produktu pārvaldības prasībās nav detalizēti noteikti.</w:t>
      </w:r>
    </w:p>
    <w:p w14:paraId="07B4E05E" w14:textId="27C26E95"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Neskatoties uz šo regulatīvo prasību esamību, pierādījumi liecina, ka privātie klienti </w:t>
      </w:r>
      <w:r w:rsidRPr="00046FC6">
        <w:rPr>
          <w:rFonts w:ascii="Times New Roman" w:eastAsia="Times New Roman" w:hAnsi="Times New Roman" w:cs="Times New Roman"/>
          <w:sz w:val="24"/>
          <w:lang w:eastAsia="lv-LV"/>
        </w:rPr>
        <w:t>līdz EVTI finanšu līgumu par starpību intervences lēmum</w:t>
      </w:r>
      <w:r w:rsidR="00B8619E" w:rsidRPr="00046FC6">
        <w:rPr>
          <w:rFonts w:ascii="Times New Roman" w:eastAsia="Times New Roman" w:hAnsi="Times New Roman" w:cs="Times New Roman"/>
          <w:sz w:val="24"/>
          <w:lang w:eastAsia="lv-LV"/>
        </w:rPr>
        <w:t>u</w:t>
      </w:r>
      <w:r w:rsidRPr="00046FC6">
        <w:rPr>
          <w:rFonts w:ascii="Times New Roman" w:eastAsia="Times New Roman" w:hAnsi="Times New Roman" w:cs="Times New Roman"/>
          <w:sz w:val="24"/>
          <w:lang w:eastAsia="lv-LV"/>
        </w:rPr>
        <w:t xml:space="preserve"> pieņemšanai turpināja</w:t>
      </w:r>
      <w:r w:rsidRPr="00046FC6">
        <w:rPr>
          <w:rFonts w:ascii="Times New Roman" w:eastAsia="Times New Roman" w:hAnsi="Times New Roman" w:cs="Times New Roman"/>
          <w:bCs/>
          <w:sz w:val="24"/>
          <w:szCs w:val="24"/>
          <w:lang w:eastAsia="lv-LV"/>
        </w:rPr>
        <w:t xml:space="preserve"> zaudēt naudu darījumos ar </w:t>
      </w:r>
      <w:r w:rsidRPr="00046FC6">
        <w:rPr>
          <w:rFonts w:ascii="Times New Roman" w:eastAsia="Times New Roman" w:hAnsi="Times New Roman" w:cs="Times New Roman"/>
          <w:sz w:val="24"/>
          <w:lang w:eastAsia="lv-LV"/>
        </w:rPr>
        <w:t>līgumiem par starpību</w:t>
      </w:r>
      <w:r w:rsidRPr="00046FC6">
        <w:rPr>
          <w:rFonts w:ascii="Times New Roman" w:eastAsia="Times New Roman" w:hAnsi="Times New Roman" w:cs="Times New Roman"/>
          <w:bCs/>
          <w:sz w:val="24"/>
          <w:szCs w:val="24"/>
          <w:lang w:eastAsia="lv-LV"/>
        </w:rPr>
        <w:t xml:space="preserve">. Tāpēc </w:t>
      </w:r>
      <w:r w:rsidR="00B8619E" w:rsidRPr="00046FC6">
        <w:rPr>
          <w:rFonts w:ascii="Times New Roman" w:eastAsia="Times New Roman" w:hAnsi="Times New Roman" w:cs="Times New Roman"/>
          <w:bCs/>
          <w:sz w:val="24"/>
          <w:szCs w:val="24"/>
          <w:lang w:eastAsia="lv-LV"/>
        </w:rPr>
        <w:t>Latvijas Bankas noteikumu projektā noteiktās prasības</w:t>
      </w:r>
      <w:r w:rsidRPr="00046FC6">
        <w:rPr>
          <w:rFonts w:ascii="Times New Roman" w:eastAsia="Times New Roman" w:hAnsi="Times New Roman" w:cs="Times New Roman"/>
          <w:bCs/>
          <w:sz w:val="24"/>
          <w:szCs w:val="24"/>
          <w:lang w:eastAsia="lv-LV"/>
        </w:rPr>
        <w:t xml:space="preserve"> ir nepiecieša</w:t>
      </w:r>
      <w:r w:rsidR="00A521B8" w:rsidRPr="00046FC6">
        <w:rPr>
          <w:rFonts w:ascii="Times New Roman" w:eastAsia="Times New Roman" w:hAnsi="Times New Roman" w:cs="Times New Roman"/>
          <w:bCs/>
          <w:sz w:val="24"/>
          <w:szCs w:val="24"/>
          <w:lang w:eastAsia="lv-LV"/>
        </w:rPr>
        <w:t>mas</w:t>
      </w:r>
      <w:r w:rsidRPr="00046FC6">
        <w:rPr>
          <w:rFonts w:ascii="Times New Roman" w:eastAsia="Times New Roman" w:hAnsi="Times New Roman" w:cs="Times New Roman"/>
          <w:bCs/>
          <w:sz w:val="24"/>
          <w:szCs w:val="24"/>
          <w:lang w:eastAsia="lv-LV"/>
        </w:rPr>
        <w:t>, lai novērstu draudus.</w:t>
      </w:r>
    </w:p>
    <w:p w14:paraId="26FF4F6F" w14:textId="619FC69A"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lastRenderedPageBreak/>
        <w:t>Šo jautājumu nevarētu labāk risināt, uzlabojot uzraudzību vai spēkā esošo prasību izpildi (</w:t>
      </w:r>
      <w:r w:rsidR="005F593D" w:rsidRPr="00046FC6">
        <w:rPr>
          <w:rFonts w:ascii="Times New Roman" w:eastAsia="Times New Roman" w:hAnsi="Times New Roman" w:cs="Times New Roman"/>
          <w:b/>
          <w:sz w:val="24"/>
          <w:szCs w:val="24"/>
          <w:lang w:eastAsia="lv-LV"/>
        </w:rPr>
        <w:t>Regulas Nr. 600/2014</w:t>
      </w:r>
      <w:r w:rsidRPr="00046FC6">
        <w:rPr>
          <w:rFonts w:ascii="Times New Roman" w:eastAsia="Times New Roman" w:hAnsi="Times New Roman" w:cs="Times New Roman"/>
          <w:b/>
          <w:sz w:val="24"/>
          <w:szCs w:val="24"/>
          <w:lang w:eastAsia="lv-LV"/>
        </w:rPr>
        <w:t xml:space="preserve"> 42.</w:t>
      </w:r>
      <w:r w:rsidR="005F593D"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5F593D"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b)</w:t>
      </w:r>
      <w:r w:rsidR="005F593D"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5DCBE00A" w14:textId="43EB4327" w:rsidR="00843A49" w:rsidRPr="00046FC6" w:rsidRDefault="005F593D"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Regulas Nr. 600/2014 </w:t>
      </w:r>
      <w:r w:rsidR="00843A49" w:rsidRPr="00046FC6">
        <w:rPr>
          <w:rFonts w:ascii="Times New Roman" w:eastAsia="Times New Roman" w:hAnsi="Times New Roman" w:cs="Times New Roman"/>
          <w:bCs/>
          <w:sz w:val="24"/>
          <w:szCs w:val="24"/>
          <w:lang w:eastAsia="lv-LV"/>
        </w:rPr>
        <w:t>42.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punkta b)</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 xml:space="preserve">apakšpunktā ir noteikts, </w:t>
      </w:r>
      <w:r w:rsidR="00B8619E" w:rsidRPr="00046FC6">
        <w:rPr>
          <w:rFonts w:ascii="Times New Roman" w:eastAsia="Times New Roman" w:hAnsi="Times New Roman" w:cs="Times New Roman"/>
          <w:bCs/>
          <w:sz w:val="24"/>
          <w:szCs w:val="24"/>
          <w:lang w:eastAsia="lv-LV"/>
        </w:rPr>
        <w:t xml:space="preserve">ka kompetentās iestādes var veikt šā panta 1. punktā minētos intervences pasākumus, ja ir pamatots pierādījums, ka konstatētās ievērojamās </w:t>
      </w:r>
      <w:r w:rsidR="00843A49" w:rsidRPr="00046FC6">
        <w:rPr>
          <w:rFonts w:ascii="Times New Roman" w:eastAsia="Times New Roman" w:hAnsi="Times New Roman" w:cs="Times New Roman"/>
          <w:bCs/>
          <w:sz w:val="24"/>
          <w:szCs w:val="24"/>
          <w:lang w:eastAsia="lv-LV"/>
        </w:rPr>
        <w:t>bažas par ieguldītāju aizsardzību nevarētu labāk risināt ar uzlabotu uzraudzību vai spēkā esošo prasību izpildi.</w:t>
      </w:r>
    </w:p>
    <w:p w14:paraId="59B36BFD" w14:textId="3883FDEF"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Pirms pagaidu EVTI finanšu līgumu par starpību intervences lēmum</w:t>
      </w:r>
      <w:r w:rsidR="00F00F14"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pieņemšanas EVTI veica vairākus nesaistošus pasākumus </w:t>
      </w:r>
      <w:r w:rsidR="00E159AF" w:rsidRPr="00046FC6">
        <w:rPr>
          <w:rFonts w:ascii="Times New Roman" w:eastAsia="Times New Roman" w:hAnsi="Times New Roman" w:cs="Times New Roman"/>
          <w:bCs/>
          <w:sz w:val="24"/>
          <w:szCs w:val="24"/>
          <w:lang w:eastAsia="lv-LV"/>
        </w:rPr>
        <w:t>attiecībā uz</w:t>
      </w:r>
      <w:r w:rsidRPr="00046FC6">
        <w:rPr>
          <w:rFonts w:ascii="Times New Roman" w:eastAsia="Times New Roman" w:hAnsi="Times New Roman" w:cs="Times New Roman"/>
          <w:bCs/>
          <w:sz w:val="24"/>
          <w:szCs w:val="24"/>
          <w:lang w:eastAsia="lv-LV"/>
        </w:rPr>
        <w:t xml:space="preserve"> ievērojamām bažām par ieguldītāju aizsardzību, kas konstatētas saistībā ar </w:t>
      </w:r>
      <w:r w:rsidRPr="00046FC6">
        <w:rPr>
          <w:rFonts w:ascii="Times New Roman" w:eastAsia="Times New Roman" w:hAnsi="Times New Roman" w:cs="Times New Roman"/>
          <w:sz w:val="24"/>
          <w:lang w:eastAsia="lv-LV"/>
        </w:rPr>
        <w:t>līgum</w:t>
      </w:r>
      <w:r w:rsidR="00F00F14" w:rsidRPr="00046FC6">
        <w:rPr>
          <w:rFonts w:ascii="Times New Roman" w:eastAsia="Times New Roman" w:hAnsi="Times New Roman" w:cs="Times New Roman"/>
          <w:sz w:val="24"/>
          <w:lang w:eastAsia="lv-LV"/>
        </w:rPr>
        <w:t>u</w:t>
      </w:r>
      <w:r w:rsidRPr="00046FC6">
        <w:rPr>
          <w:rFonts w:ascii="Times New Roman" w:eastAsia="Times New Roman" w:hAnsi="Times New Roman" w:cs="Times New Roman"/>
          <w:sz w:val="24"/>
          <w:lang w:eastAsia="lv-LV"/>
        </w:rPr>
        <w:t xml:space="preserve"> </w:t>
      </w:r>
      <w:r w:rsidRPr="00046FC6">
        <w:rPr>
          <w:rFonts w:ascii="Times New Roman" w:eastAsia="Times New Roman" w:hAnsi="Times New Roman" w:cs="Times New Roman"/>
          <w:bCs/>
          <w:sz w:val="24"/>
          <w:szCs w:val="24"/>
          <w:lang w:eastAsia="lv-LV"/>
        </w:rPr>
        <w:t>par starpību pārdošanu privātajiem klientiem. EVTI ir veikusi uzraudzības konverģences darbu un koordinējusi darbu, ko veic kopīga grupa, k</w:t>
      </w:r>
      <w:r w:rsidR="00E159AF" w:rsidRPr="00046FC6">
        <w:rPr>
          <w:rFonts w:ascii="Times New Roman" w:eastAsia="Times New Roman" w:hAnsi="Times New Roman" w:cs="Times New Roman"/>
          <w:bCs/>
          <w:sz w:val="24"/>
          <w:szCs w:val="24"/>
          <w:lang w:eastAsia="lv-LV"/>
        </w:rPr>
        <w:t>ura</w:t>
      </w:r>
      <w:r w:rsidRPr="00046FC6">
        <w:rPr>
          <w:rFonts w:ascii="Times New Roman" w:eastAsia="Times New Roman" w:hAnsi="Times New Roman" w:cs="Times New Roman"/>
          <w:bCs/>
          <w:sz w:val="24"/>
          <w:szCs w:val="24"/>
          <w:lang w:eastAsia="lv-LV"/>
        </w:rPr>
        <w:t xml:space="preserve"> izveidota, lai risinātu jautājumus, kas saistīti ar vairākiem finanšu tirgus dalībniekiem, kuri piedāvā binār</w:t>
      </w:r>
      <w:r w:rsidR="00F00F14" w:rsidRPr="00046FC6">
        <w:rPr>
          <w:rFonts w:ascii="Times New Roman" w:eastAsia="Times New Roman" w:hAnsi="Times New Roman" w:cs="Times New Roman"/>
          <w:bCs/>
          <w:sz w:val="24"/>
          <w:szCs w:val="24"/>
          <w:lang w:eastAsia="lv-LV"/>
        </w:rPr>
        <w:t>o iespēju līgumus</w:t>
      </w:r>
      <w:r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lang w:eastAsia="lv-LV"/>
        </w:rPr>
        <w:t xml:space="preserve">līgumus </w:t>
      </w:r>
      <w:r w:rsidRPr="00046FC6">
        <w:rPr>
          <w:rFonts w:ascii="Times New Roman" w:eastAsia="Times New Roman" w:hAnsi="Times New Roman" w:cs="Times New Roman"/>
          <w:bCs/>
          <w:sz w:val="24"/>
          <w:szCs w:val="24"/>
          <w:lang w:eastAsia="lv-LV"/>
        </w:rPr>
        <w:t xml:space="preserve">par starpību un citus spekulatīvus produktus privātajiem klientiem pārrobežu mērogā visā </w:t>
      </w:r>
      <w:r w:rsidR="005F593D" w:rsidRPr="00046FC6">
        <w:rPr>
          <w:rFonts w:ascii="Times New Roman" w:eastAsia="Times New Roman" w:hAnsi="Times New Roman" w:cs="Times New Roman"/>
          <w:bCs/>
          <w:sz w:val="24"/>
          <w:szCs w:val="24"/>
          <w:lang w:eastAsia="lv-LV"/>
        </w:rPr>
        <w:t>Eiropas Savienībā</w:t>
      </w:r>
      <w:r w:rsidRPr="00046FC6">
        <w:rPr>
          <w:rFonts w:ascii="Times New Roman" w:eastAsia="Times New Roman" w:hAnsi="Times New Roman" w:cs="Times New Roman"/>
          <w:bCs/>
          <w:sz w:val="24"/>
          <w:szCs w:val="24"/>
          <w:lang w:eastAsia="lv-LV"/>
        </w:rPr>
        <w:t xml:space="preserve">. EVTI ir vairākkārt norādījusi uz </w:t>
      </w:r>
      <w:r w:rsidRPr="00046FC6">
        <w:rPr>
          <w:rFonts w:ascii="Times New Roman" w:eastAsia="Times New Roman" w:hAnsi="Times New Roman" w:cs="Times New Roman"/>
          <w:sz w:val="24"/>
          <w:lang w:eastAsia="lv-LV"/>
        </w:rPr>
        <w:t xml:space="preserve">līgumu </w:t>
      </w:r>
      <w:r w:rsidRPr="00046FC6">
        <w:rPr>
          <w:rFonts w:ascii="Times New Roman" w:eastAsia="Times New Roman" w:hAnsi="Times New Roman" w:cs="Times New Roman"/>
          <w:bCs/>
          <w:sz w:val="24"/>
          <w:szCs w:val="24"/>
          <w:lang w:eastAsia="lv-LV"/>
        </w:rPr>
        <w:t>par starpību riskiem ieguldītāju brīdinājumos, jautājumos un atbildēs</w:t>
      </w:r>
      <w:r w:rsidRPr="00046FC6">
        <w:rPr>
          <w:rFonts w:ascii="Times New Roman" w:eastAsia="Times New Roman" w:hAnsi="Times New Roman" w:cs="Times New Roman"/>
          <w:bCs/>
          <w:sz w:val="24"/>
          <w:szCs w:val="24"/>
          <w:vertAlign w:val="superscript"/>
          <w:lang w:eastAsia="lv-LV"/>
        </w:rPr>
        <w:footnoteReference w:id="60"/>
      </w:r>
      <w:r w:rsidRPr="00046FC6">
        <w:rPr>
          <w:rFonts w:ascii="Times New Roman" w:eastAsia="Times New Roman" w:hAnsi="Times New Roman" w:cs="Times New Roman"/>
          <w:bCs/>
          <w:sz w:val="24"/>
          <w:szCs w:val="24"/>
          <w:lang w:eastAsia="lv-LV"/>
        </w:rPr>
        <w:t xml:space="preserve"> un savā atzinumā "MiFID piemērošanas praks</w:t>
      </w:r>
      <w:r w:rsidR="00E159AF" w:rsidRPr="00046FC6">
        <w:rPr>
          <w:rFonts w:ascii="Times New Roman" w:eastAsia="Times New Roman" w:hAnsi="Times New Roman" w:cs="Times New Roman"/>
          <w:bCs/>
          <w:sz w:val="24"/>
          <w:szCs w:val="24"/>
          <w:lang w:eastAsia="lv-LV"/>
        </w:rPr>
        <w:t>e</w:t>
      </w:r>
      <w:r w:rsidRPr="00046FC6">
        <w:rPr>
          <w:rFonts w:ascii="Times New Roman" w:eastAsia="Times New Roman" w:hAnsi="Times New Roman" w:cs="Times New Roman"/>
          <w:bCs/>
          <w:sz w:val="24"/>
          <w:szCs w:val="24"/>
          <w:lang w:eastAsia="lv-LV"/>
        </w:rPr>
        <w:t xml:space="preserve"> sabiedrībām, kas pārdod sarežģītus finanšu produktus"</w:t>
      </w:r>
      <w:r w:rsidRPr="00046FC6">
        <w:rPr>
          <w:rFonts w:ascii="Times New Roman" w:eastAsia="Times New Roman" w:hAnsi="Times New Roman" w:cs="Times New Roman"/>
          <w:bCs/>
          <w:sz w:val="24"/>
          <w:szCs w:val="24"/>
          <w:vertAlign w:val="superscript"/>
          <w:lang w:eastAsia="lv-LV"/>
        </w:rPr>
        <w:footnoteReference w:id="61"/>
      </w:r>
      <w:r w:rsidRPr="00046FC6">
        <w:rPr>
          <w:rFonts w:ascii="Times New Roman" w:eastAsia="Times New Roman" w:hAnsi="Times New Roman" w:cs="Times New Roman"/>
          <w:bCs/>
          <w:sz w:val="24"/>
          <w:szCs w:val="24"/>
          <w:lang w:eastAsia="lv-LV"/>
        </w:rPr>
        <w:t>. Neskatoties uz to, ka EVTI ir plaši izmantojusi tās rīcībā esošos nesaistošos instrumentus, lai nodrošinātu atbilstīgu un efektīvu piemērojamo spēkā esošo normatīvo prasību piemērošanu, bažas attiecībā uz ieguldītāju aizsardzību joprojām pastāv</w:t>
      </w:r>
      <w:r w:rsidR="009A7858"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vertAlign w:val="superscript"/>
          <w:lang w:eastAsia="lv-LV"/>
        </w:rPr>
        <w:footnoteReference w:id="62"/>
      </w:r>
      <w:r w:rsidRPr="00046FC6">
        <w:rPr>
          <w:rFonts w:ascii="Times New Roman" w:eastAsia="Times New Roman" w:hAnsi="Times New Roman" w:cs="Times New Roman"/>
          <w:bCs/>
          <w:sz w:val="24"/>
          <w:szCs w:val="24"/>
          <w:lang w:eastAsia="lv-LV"/>
        </w:rPr>
        <w:t xml:space="preserve"> Tas izceļ apstākli, ka aprakstīto iemeslu dēļ šīs prasības nenovērš konstatētās bažas.</w:t>
      </w:r>
    </w:p>
    <w:p w14:paraId="42E83DB1" w14:textId="1F5FF3FC"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EVTI 2018.</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18.</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janvārī izsludināja uzaicinājumu sniegt pierādījumus par saviem potenciālajiem produktu intervences pasākumiem attiecībā uz līgumu par starpīb</w:t>
      </w:r>
      <w:r w:rsidR="00F00F14" w:rsidRPr="00046FC6">
        <w:rPr>
          <w:rFonts w:ascii="Times New Roman" w:eastAsia="Times New Roman" w:hAnsi="Times New Roman" w:cs="Times New Roman"/>
          <w:bCs/>
          <w:sz w:val="24"/>
          <w:szCs w:val="24"/>
          <w:lang w:eastAsia="lv-LV"/>
        </w:rPr>
        <w:t xml:space="preserve">u </w:t>
      </w:r>
      <w:r w:rsidRPr="00046FC6">
        <w:rPr>
          <w:rFonts w:ascii="Times New Roman" w:eastAsia="Times New Roman" w:hAnsi="Times New Roman" w:cs="Times New Roman"/>
          <w:bCs/>
          <w:sz w:val="24"/>
          <w:szCs w:val="24"/>
          <w:lang w:eastAsia="lv-LV"/>
        </w:rPr>
        <w:t xml:space="preserve">un bināro </w:t>
      </w:r>
      <w:r w:rsidR="00F00F14" w:rsidRPr="00046FC6">
        <w:rPr>
          <w:rFonts w:ascii="Times New Roman" w:eastAsia="Times New Roman" w:hAnsi="Times New Roman" w:cs="Times New Roman"/>
          <w:bCs/>
          <w:sz w:val="24"/>
          <w:szCs w:val="24"/>
          <w:lang w:eastAsia="lv-LV"/>
        </w:rPr>
        <w:t>iespēju līgumu</w:t>
      </w:r>
      <w:r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szCs w:val="24"/>
          <w:lang w:eastAsia="lv-LV"/>
        </w:rPr>
        <w:t>reklamēšanu</w:t>
      </w:r>
      <w:r w:rsidRPr="00046FC6">
        <w:rPr>
          <w:rFonts w:ascii="Times New Roman" w:eastAsia="Times New Roman" w:hAnsi="Times New Roman" w:cs="Times New Roman"/>
          <w:bCs/>
          <w:sz w:val="24"/>
          <w:szCs w:val="24"/>
          <w:lang w:eastAsia="lv-LV"/>
        </w:rPr>
        <w:t>, izplatīšanu un pārdošanu privātajiem klientiem. Aicinājums tika slēgts 2018.</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5. februārī. E</w:t>
      </w:r>
      <w:r w:rsidR="00DE6BAB" w:rsidRPr="00046FC6">
        <w:rPr>
          <w:rFonts w:ascii="Times New Roman" w:eastAsia="Times New Roman" w:hAnsi="Times New Roman" w:cs="Times New Roman"/>
          <w:bCs/>
          <w:sz w:val="24"/>
          <w:szCs w:val="24"/>
          <w:lang w:eastAsia="lv-LV"/>
        </w:rPr>
        <w:t>VTI</w:t>
      </w:r>
      <w:r w:rsidRPr="00046FC6">
        <w:rPr>
          <w:rFonts w:ascii="Times New Roman" w:eastAsia="Times New Roman" w:hAnsi="Times New Roman" w:cs="Times New Roman"/>
          <w:bCs/>
          <w:sz w:val="24"/>
          <w:szCs w:val="24"/>
          <w:lang w:eastAsia="lv-LV"/>
        </w:rPr>
        <w:t xml:space="preserve"> saņēma gandrīz 18</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500</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atbilžu. Pamatojoties uz </w:t>
      </w:r>
      <w:r w:rsidR="006D43CF" w:rsidRPr="00046FC6">
        <w:rPr>
          <w:rFonts w:ascii="Times New Roman" w:eastAsia="Times New Roman" w:hAnsi="Times New Roman" w:cs="Times New Roman"/>
          <w:bCs/>
          <w:sz w:val="24"/>
          <w:szCs w:val="24"/>
          <w:lang w:eastAsia="lv-LV"/>
        </w:rPr>
        <w:t xml:space="preserve">pilnībā veiktiem apsvērumiem par </w:t>
      </w:r>
      <w:r w:rsidRPr="00046FC6">
        <w:rPr>
          <w:rFonts w:ascii="Times New Roman" w:eastAsia="Times New Roman" w:hAnsi="Times New Roman" w:cs="Times New Roman"/>
          <w:bCs/>
          <w:sz w:val="24"/>
          <w:szCs w:val="24"/>
          <w:lang w:eastAsia="lv-LV"/>
        </w:rPr>
        <w:t>atbil</w:t>
      </w:r>
      <w:r w:rsidR="006D43CF" w:rsidRPr="00046FC6">
        <w:rPr>
          <w:rFonts w:ascii="Times New Roman" w:eastAsia="Times New Roman" w:hAnsi="Times New Roman" w:cs="Times New Roman"/>
          <w:bCs/>
          <w:sz w:val="24"/>
          <w:szCs w:val="24"/>
          <w:lang w:eastAsia="lv-LV"/>
        </w:rPr>
        <w:t xml:space="preserve">dēm </w:t>
      </w:r>
      <w:r w:rsidRPr="00046FC6">
        <w:rPr>
          <w:rFonts w:ascii="Times New Roman" w:eastAsia="Times New Roman" w:hAnsi="Times New Roman" w:cs="Times New Roman"/>
          <w:bCs/>
          <w:sz w:val="24"/>
          <w:szCs w:val="24"/>
          <w:lang w:eastAsia="lv-LV"/>
        </w:rPr>
        <w:t>un vis</w:t>
      </w:r>
      <w:r w:rsidR="006D43CF" w:rsidRPr="00046FC6">
        <w:rPr>
          <w:rFonts w:ascii="Times New Roman" w:eastAsia="Times New Roman" w:hAnsi="Times New Roman" w:cs="Times New Roman"/>
          <w:bCs/>
          <w:sz w:val="24"/>
          <w:szCs w:val="24"/>
          <w:lang w:eastAsia="lv-LV"/>
        </w:rPr>
        <w:t>iem</w:t>
      </w:r>
      <w:r w:rsidRPr="00046FC6">
        <w:rPr>
          <w:rFonts w:ascii="Times New Roman" w:eastAsia="Times New Roman" w:hAnsi="Times New Roman" w:cs="Times New Roman"/>
          <w:bCs/>
          <w:sz w:val="24"/>
          <w:szCs w:val="24"/>
          <w:lang w:eastAsia="lv-LV"/>
        </w:rPr>
        <w:t xml:space="preserve"> cit</w:t>
      </w:r>
      <w:r w:rsidR="006D43CF" w:rsidRPr="00046FC6">
        <w:rPr>
          <w:rFonts w:ascii="Times New Roman" w:eastAsia="Times New Roman" w:hAnsi="Times New Roman" w:cs="Times New Roman"/>
          <w:bCs/>
          <w:sz w:val="24"/>
          <w:szCs w:val="24"/>
          <w:lang w:eastAsia="lv-LV"/>
        </w:rPr>
        <w:t>iem</w:t>
      </w:r>
      <w:r w:rsidRPr="00046FC6">
        <w:rPr>
          <w:rFonts w:ascii="Times New Roman" w:eastAsia="Times New Roman" w:hAnsi="Times New Roman" w:cs="Times New Roman"/>
          <w:bCs/>
          <w:sz w:val="24"/>
          <w:szCs w:val="24"/>
          <w:lang w:eastAsia="lv-LV"/>
        </w:rPr>
        <w:t xml:space="preserve"> attiecīg</w:t>
      </w:r>
      <w:r w:rsidR="006D43CF" w:rsidRPr="00046FC6">
        <w:rPr>
          <w:rFonts w:ascii="Times New Roman" w:eastAsia="Times New Roman" w:hAnsi="Times New Roman" w:cs="Times New Roman"/>
          <w:bCs/>
          <w:sz w:val="24"/>
          <w:szCs w:val="24"/>
          <w:lang w:eastAsia="lv-LV"/>
        </w:rPr>
        <w:t>ajiem</w:t>
      </w:r>
      <w:r w:rsidRPr="00046FC6">
        <w:rPr>
          <w:rFonts w:ascii="Times New Roman" w:eastAsia="Times New Roman" w:hAnsi="Times New Roman" w:cs="Times New Roman"/>
          <w:bCs/>
          <w:sz w:val="24"/>
          <w:szCs w:val="24"/>
          <w:lang w:eastAsia="lv-LV"/>
        </w:rPr>
        <w:t xml:space="preserve"> pierādījum</w:t>
      </w:r>
      <w:r w:rsidR="006D43CF" w:rsidRPr="00046FC6">
        <w:rPr>
          <w:rFonts w:ascii="Times New Roman" w:eastAsia="Times New Roman" w:hAnsi="Times New Roman" w:cs="Times New Roman"/>
          <w:bCs/>
          <w:sz w:val="24"/>
          <w:szCs w:val="24"/>
          <w:lang w:eastAsia="lv-LV"/>
        </w:rPr>
        <w:t>iem</w:t>
      </w:r>
      <w:r w:rsidRPr="00046FC6">
        <w:rPr>
          <w:rFonts w:ascii="Times New Roman" w:eastAsia="Times New Roman" w:hAnsi="Times New Roman" w:cs="Times New Roman"/>
          <w:bCs/>
          <w:sz w:val="24"/>
          <w:szCs w:val="24"/>
          <w:lang w:eastAsia="lv-LV"/>
        </w:rPr>
        <w:t xml:space="preserve">, </w:t>
      </w:r>
      <w:r w:rsidR="00DE6BAB" w:rsidRPr="00046FC6">
        <w:rPr>
          <w:rFonts w:ascii="Times New Roman" w:eastAsia="Times New Roman" w:hAnsi="Times New Roman" w:cs="Times New Roman"/>
          <w:bCs/>
          <w:sz w:val="24"/>
          <w:szCs w:val="24"/>
          <w:lang w:eastAsia="lv-LV"/>
        </w:rPr>
        <w:t>EVTI</w:t>
      </w:r>
      <w:r w:rsidRPr="00046FC6">
        <w:rPr>
          <w:rFonts w:ascii="Times New Roman" w:eastAsia="Times New Roman" w:hAnsi="Times New Roman" w:cs="Times New Roman"/>
          <w:bCs/>
          <w:sz w:val="24"/>
          <w:szCs w:val="24"/>
          <w:lang w:eastAsia="lv-LV"/>
        </w:rPr>
        <w:t xml:space="preserve"> uzskatīja par nepieciešamu noteikt pagaidu ierobežojumu līgumu par starpīb</w:t>
      </w:r>
      <w:r w:rsidR="00F00F14"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w:t>
      </w:r>
      <w:r w:rsidRPr="00046FC6">
        <w:rPr>
          <w:rFonts w:ascii="Times New Roman" w:eastAsia="Times New Roman" w:hAnsi="Times New Roman" w:cs="Times New Roman"/>
          <w:sz w:val="24"/>
          <w:szCs w:val="24"/>
          <w:lang w:eastAsia="lv-LV"/>
        </w:rPr>
        <w:t>reklamēšanai</w:t>
      </w:r>
      <w:r w:rsidRPr="00046FC6">
        <w:rPr>
          <w:rFonts w:ascii="Times New Roman" w:eastAsia="Times New Roman" w:hAnsi="Times New Roman" w:cs="Times New Roman"/>
          <w:bCs/>
          <w:sz w:val="24"/>
          <w:szCs w:val="24"/>
          <w:lang w:eastAsia="lv-LV"/>
        </w:rPr>
        <w:t xml:space="preserve">, izplatīšanai vai pārdošanai privātiem klientiem saskaņā ar </w:t>
      </w:r>
      <w:r w:rsidR="005F593D" w:rsidRPr="00046FC6">
        <w:rPr>
          <w:rFonts w:ascii="Times New Roman" w:eastAsia="Times New Roman" w:hAnsi="Times New Roman" w:cs="Times New Roman"/>
          <w:bCs/>
          <w:sz w:val="24"/>
          <w:szCs w:val="24"/>
          <w:lang w:eastAsia="lv-LV"/>
        </w:rPr>
        <w:t xml:space="preserve">Regulas Nr. 600/2014 </w:t>
      </w:r>
      <w:r w:rsidRPr="00046FC6">
        <w:rPr>
          <w:rFonts w:ascii="Times New Roman" w:eastAsia="Times New Roman" w:hAnsi="Times New Roman" w:cs="Times New Roman"/>
          <w:bCs/>
          <w:sz w:val="24"/>
          <w:szCs w:val="24"/>
          <w:lang w:eastAsia="lv-LV"/>
        </w:rPr>
        <w:t>40.</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panta 1.</w:t>
      </w:r>
      <w:r w:rsidR="005F593D"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punktu.</w:t>
      </w:r>
    </w:p>
    <w:p w14:paraId="511DBA75" w14:textId="3F1FBC73" w:rsidR="00843A49" w:rsidRPr="00046FC6" w:rsidRDefault="00DE6BAB" w:rsidP="00423108">
      <w:pPr>
        <w:numPr>
          <w:ilvl w:val="0"/>
          <w:numId w:val="13"/>
        </w:numPr>
        <w:tabs>
          <w:tab w:val="decimal" w:pos="426"/>
        </w:tabs>
        <w:spacing w:after="120" w:line="240" w:lineRule="auto"/>
        <w:ind w:left="0" w:firstLine="0"/>
        <w:jc w:val="both"/>
        <w:rPr>
          <w:rFonts w:ascii="Times New Roman" w:eastAsia="Times New Roman" w:hAnsi="Times New Roman" w:cs="Times New Roman"/>
          <w:sz w:val="24"/>
          <w:szCs w:val="24"/>
          <w:lang w:eastAsia="lv-LV"/>
        </w:rPr>
      </w:pPr>
      <w:r w:rsidRPr="00046FC6">
        <w:rPr>
          <w:rFonts w:ascii="Times New Roman" w:eastAsia="Times New Roman" w:hAnsi="Times New Roman" w:cs="Times New Roman"/>
          <w:bCs/>
          <w:sz w:val="24"/>
          <w:szCs w:val="24"/>
          <w:lang w:eastAsia="lv-LV"/>
        </w:rPr>
        <w:t>EVTI</w:t>
      </w:r>
      <w:r w:rsidR="00843A49" w:rsidRPr="00046FC6">
        <w:rPr>
          <w:rFonts w:ascii="Times New Roman" w:eastAsia="Times New Roman" w:hAnsi="Times New Roman" w:cs="Times New Roman"/>
          <w:bCs/>
          <w:sz w:val="24"/>
          <w:szCs w:val="24"/>
          <w:lang w:eastAsia="lv-LV"/>
        </w:rPr>
        <w:t xml:space="preserve"> pieņēma </w:t>
      </w:r>
      <w:r w:rsidR="00843A49" w:rsidRPr="00046FC6">
        <w:rPr>
          <w:rFonts w:ascii="Times New Roman" w:eastAsia="Times New Roman" w:hAnsi="Times New Roman" w:cs="Times New Roman"/>
          <w:sz w:val="24"/>
          <w:szCs w:val="24"/>
          <w:lang w:eastAsia="lv-LV"/>
        </w:rPr>
        <w:t xml:space="preserve">finanšu līgumu par starpību </w:t>
      </w:r>
      <w:r w:rsidR="00843A49" w:rsidRPr="00046FC6">
        <w:rPr>
          <w:rFonts w:ascii="Times New Roman" w:eastAsia="Times New Roman" w:hAnsi="Times New Roman" w:cs="Times New Roman"/>
          <w:sz w:val="24"/>
          <w:lang w:eastAsia="lv-LV"/>
        </w:rPr>
        <w:t>intervences lēmum</w:t>
      </w:r>
      <w:r w:rsidR="0016726E" w:rsidRPr="00046FC6">
        <w:rPr>
          <w:rFonts w:ascii="Times New Roman" w:eastAsia="Times New Roman" w:hAnsi="Times New Roman" w:cs="Times New Roman"/>
          <w:sz w:val="24"/>
          <w:lang w:eastAsia="lv-LV"/>
        </w:rPr>
        <w:t>us</w:t>
      </w:r>
      <w:r w:rsidR="00843A49" w:rsidRPr="00046FC6">
        <w:rPr>
          <w:rFonts w:ascii="Times New Roman" w:eastAsia="Times New Roman" w:hAnsi="Times New Roman" w:cs="Times New Roman"/>
          <w:sz w:val="24"/>
          <w:lang w:eastAsia="lv-LV"/>
        </w:rPr>
        <w:t xml:space="preserve"> </w:t>
      </w:r>
      <w:r w:rsidR="00843A49" w:rsidRPr="00046FC6">
        <w:rPr>
          <w:rFonts w:ascii="Times New Roman" w:eastAsia="Times New Roman" w:hAnsi="Times New Roman" w:cs="Times New Roman"/>
          <w:bCs/>
          <w:sz w:val="24"/>
          <w:szCs w:val="24"/>
          <w:lang w:eastAsia="lv-LV"/>
        </w:rPr>
        <w:t xml:space="preserve">saskaņā ar </w:t>
      </w:r>
      <w:r w:rsidR="002308A0" w:rsidRPr="00046FC6">
        <w:rPr>
          <w:rFonts w:ascii="Times New Roman" w:eastAsia="Times New Roman" w:hAnsi="Times New Roman" w:cs="Times New Roman"/>
          <w:bCs/>
          <w:sz w:val="24"/>
          <w:szCs w:val="24"/>
          <w:lang w:eastAsia="lv-LV"/>
        </w:rPr>
        <w:t xml:space="preserve">Regulas Nr. 600/2014 </w:t>
      </w:r>
      <w:r w:rsidR="00843A49" w:rsidRPr="00046FC6">
        <w:rPr>
          <w:rFonts w:ascii="Times New Roman" w:eastAsia="Times New Roman" w:hAnsi="Times New Roman" w:cs="Times New Roman"/>
          <w:bCs/>
          <w:sz w:val="24"/>
          <w:szCs w:val="24"/>
          <w:lang w:eastAsia="lv-LV"/>
        </w:rPr>
        <w:t>40.</w:t>
      </w:r>
      <w:r w:rsidR="002308A0"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 xml:space="preserve">pantu. </w:t>
      </w:r>
      <w:r w:rsidR="0016726E" w:rsidRPr="00046FC6">
        <w:rPr>
          <w:rFonts w:ascii="Times New Roman" w:eastAsia="Times New Roman" w:hAnsi="Times New Roman" w:cs="Times New Roman"/>
          <w:bCs/>
          <w:sz w:val="24"/>
          <w:szCs w:val="24"/>
          <w:lang w:eastAsia="lv-LV"/>
        </w:rPr>
        <w:t xml:space="preserve">Pirmais </w:t>
      </w:r>
      <w:r w:rsidR="00843A49" w:rsidRPr="00046FC6">
        <w:rPr>
          <w:rFonts w:ascii="Times New Roman" w:eastAsia="Times New Roman" w:hAnsi="Times New Roman" w:cs="Times New Roman"/>
          <w:bCs/>
          <w:sz w:val="24"/>
          <w:szCs w:val="24"/>
          <w:lang w:eastAsia="lv-LV"/>
        </w:rPr>
        <w:t>lēmums stājās spēkā 2018.</w:t>
      </w:r>
      <w:r w:rsidR="002308A0"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gada 1.</w:t>
      </w:r>
      <w:r w:rsidR="002308A0"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 xml:space="preserve">augustā uz </w:t>
      </w:r>
      <w:r w:rsidR="00E159AF" w:rsidRPr="00046FC6">
        <w:rPr>
          <w:rFonts w:ascii="Times New Roman" w:eastAsia="Times New Roman" w:hAnsi="Times New Roman" w:cs="Times New Roman"/>
          <w:bCs/>
          <w:sz w:val="24"/>
          <w:szCs w:val="24"/>
          <w:lang w:eastAsia="lv-LV"/>
        </w:rPr>
        <w:t>trim</w:t>
      </w:r>
      <w:r w:rsidR="002308A0"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 xml:space="preserve">mēnešiem. Kopš tā laika intervences lēmums tika atjaunots vēl trīs reizes. </w:t>
      </w:r>
      <w:r w:rsidR="00843A49" w:rsidRPr="00046FC6">
        <w:rPr>
          <w:rFonts w:ascii="Times New Roman" w:eastAsia="Times New Roman" w:hAnsi="Times New Roman" w:cs="Times New Roman"/>
          <w:sz w:val="24"/>
          <w:szCs w:val="24"/>
          <w:lang w:eastAsia="lv-LV"/>
        </w:rPr>
        <w:t>Arī Latvijā ar Noteikumi</w:t>
      </w:r>
      <w:r w:rsidR="0058480F" w:rsidRPr="00046FC6">
        <w:rPr>
          <w:rFonts w:ascii="Times New Roman" w:eastAsia="Times New Roman" w:hAnsi="Times New Roman" w:cs="Times New Roman"/>
          <w:sz w:val="24"/>
          <w:szCs w:val="24"/>
          <w:lang w:eastAsia="lv-LV"/>
        </w:rPr>
        <w:t>em</w:t>
      </w:r>
      <w:r w:rsidR="00843A49" w:rsidRPr="00046FC6">
        <w:rPr>
          <w:rFonts w:ascii="Times New Roman" w:eastAsia="Times New Roman" w:hAnsi="Times New Roman" w:cs="Times New Roman"/>
          <w:sz w:val="24"/>
          <w:szCs w:val="24"/>
          <w:lang w:eastAsia="lv-LV"/>
        </w:rPr>
        <w:t xml:space="preserve"> Nr. 119 tika noteikti līdzvērtīgi ierobežojumi. Tomēr tie zaudēs spēku 2025. gada 1. janvārī, ņemot vērā Latvijas Bankas likuma pārejas noteikumu 3. punktā noteikto.</w:t>
      </w:r>
    </w:p>
    <w:p w14:paraId="4FBD2AED" w14:textId="18DA1661"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Pasākums ir samērīgs, ņemot vērā identificēto risku būtību, attiecīgo ieguldītāju vai tirgus dalībnieku sarežģītības pakāpi un darbības iespējamo ietekmi uz ieguldītājiem un tirgus dalībniekiem, kuri var turēt, izmantot vai gūt labumu no finanšu instrumenta, strukturētā noguldījuma</w:t>
      </w:r>
      <w:r w:rsidR="0016726E" w:rsidRPr="00046FC6">
        <w:rPr>
          <w:rFonts w:ascii="Times New Roman" w:eastAsia="Times New Roman" w:hAnsi="Times New Roman" w:cs="Times New Roman"/>
          <w:b/>
          <w:sz w:val="24"/>
          <w:szCs w:val="24"/>
          <w:lang w:eastAsia="lv-LV"/>
        </w:rPr>
        <w:t>,</w:t>
      </w:r>
      <w:r w:rsidRPr="00046FC6">
        <w:rPr>
          <w:rFonts w:ascii="Times New Roman" w:eastAsia="Times New Roman" w:hAnsi="Times New Roman" w:cs="Times New Roman"/>
          <w:b/>
          <w:sz w:val="24"/>
          <w:szCs w:val="24"/>
          <w:lang w:eastAsia="lv-LV"/>
        </w:rPr>
        <w:t xml:space="preserve"> darbības vai prakses</w:t>
      </w:r>
      <w:r w:rsidR="002308A0" w:rsidRPr="00046FC6">
        <w:rPr>
          <w:rFonts w:ascii="Times New Roman" w:eastAsia="Times New Roman" w:hAnsi="Times New Roman" w:cs="Times New Roman"/>
          <w:b/>
          <w:sz w:val="24"/>
          <w:szCs w:val="24"/>
          <w:lang w:eastAsia="lv-LV"/>
        </w:rPr>
        <w:t xml:space="preserve"> </w:t>
      </w:r>
      <w:r w:rsidRPr="00046FC6">
        <w:rPr>
          <w:rFonts w:ascii="Times New Roman" w:eastAsia="Times New Roman" w:hAnsi="Times New Roman" w:cs="Times New Roman"/>
          <w:b/>
          <w:sz w:val="24"/>
          <w:szCs w:val="24"/>
          <w:lang w:eastAsia="lv-LV"/>
        </w:rPr>
        <w:t>(</w:t>
      </w:r>
      <w:r w:rsidR="002308A0"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c)</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46B90216" w14:textId="4A7C1D47"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Ņemot vērā identificēto būtisko bažu par ieguldītāju aizsardzību apjomu un raksturu, Latvijas Banka uzskata, ka ir nepieciešami un samērīgi ierobežot līgumu par starpību </w:t>
      </w:r>
      <w:r w:rsidRPr="00046FC6">
        <w:rPr>
          <w:rFonts w:ascii="Times New Roman" w:eastAsia="Times New Roman" w:hAnsi="Times New Roman" w:cs="Times New Roman"/>
          <w:sz w:val="24"/>
          <w:szCs w:val="24"/>
          <w:lang w:eastAsia="lv-LV"/>
        </w:rPr>
        <w:t xml:space="preserve">reklamēšanas, izplatīšanas un pārdošanas </w:t>
      </w:r>
      <w:r w:rsidR="0016726E" w:rsidRPr="00046FC6">
        <w:rPr>
          <w:rFonts w:ascii="Times New Roman" w:eastAsia="Times New Roman" w:hAnsi="Times New Roman" w:cs="Times New Roman"/>
          <w:sz w:val="24"/>
          <w:szCs w:val="24"/>
          <w:lang w:eastAsia="lv-LV"/>
        </w:rPr>
        <w:t xml:space="preserve">praksi </w:t>
      </w:r>
      <w:r w:rsidRPr="00046FC6">
        <w:rPr>
          <w:rFonts w:ascii="Times New Roman" w:eastAsia="Times New Roman" w:hAnsi="Times New Roman" w:cs="Times New Roman"/>
          <w:bCs/>
          <w:sz w:val="24"/>
          <w:szCs w:val="24"/>
          <w:lang w:eastAsia="lv-LV"/>
        </w:rPr>
        <w:t>privātajiem klientiem.</w:t>
      </w:r>
    </w:p>
    <w:p w14:paraId="72F10CC7" w14:textId="68214246" w:rsidR="00843A49" w:rsidRPr="00046FC6" w:rsidRDefault="0016726E"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lastRenderedPageBreak/>
        <w:t>Latvijas Bankas noteikumu projekts</w:t>
      </w:r>
      <w:r w:rsidR="00843A49" w:rsidRPr="00046FC6">
        <w:rPr>
          <w:rFonts w:ascii="Times New Roman" w:eastAsia="Times New Roman" w:hAnsi="Times New Roman" w:cs="Times New Roman"/>
          <w:bCs/>
          <w:sz w:val="24"/>
          <w:szCs w:val="24"/>
          <w:lang w:eastAsia="lv-LV"/>
        </w:rPr>
        <w:t xml:space="preserve"> risinās konstatētās ievērojamās bažas par ieguldītāju aizsardzību, nodrošinot atbilstošu un vienotu minimālās aizsardzības līmeni privātajiem klientiem, kas veic līgumu par starpību darījumus.</w:t>
      </w:r>
    </w:p>
    <w:p w14:paraId="7DDEB11E" w14:textId="4C1F1B10" w:rsidR="00843A49" w:rsidRPr="00046FC6" w:rsidRDefault="00843A49" w:rsidP="00423108">
      <w:pPr>
        <w:tabs>
          <w:tab w:val="decimal" w:pos="426"/>
        </w:tabs>
        <w:spacing w:after="120" w:line="240" w:lineRule="auto"/>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Galvenie ieguvumi, kas saistīti ar Latvijas Bankas prasību ieviešanu</w:t>
      </w:r>
      <w:r w:rsidR="0016726E" w:rsidRPr="00046FC6">
        <w:rPr>
          <w:rFonts w:ascii="Times New Roman" w:eastAsia="Times New Roman" w:hAnsi="Times New Roman" w:cs="Times New Roman"/>
          <w:bCs/>
          <w:sz w:val="24"/>
          <w:szCs w:val="24"/>
          <w:lang w:eastAsia="lv-LV"/>
        </w:rPr>
        <w:t>,</w:t>
      </w:r>
      <w:r w:rsidRPr="00046FC6">
        <w:rPr>
          <w:rFonts w:ascii="Times New Roman" w:eastAsia="Times New Roman" w:hAnsi="Times New Roman" w:cs="Times New Roman"/>
          <w:bCs/>
          <w:sz w:val="24"/>
          <w:szCs w:val="24"/>
          <w:lang w:eastAsia="lv-LV"/>
        </w:rPr>
        <w:t xml:space="preserve"> ir:</w:t>
      </w:r>
    </w:p>
    <w:p w14:paraId="56A05E30" w14:textId="33CAF63A" w:rsidR="00843A49" w:rsidRPr="00046FC6" w:rsidRDefault="00843A49" w:rsidP="00046FC6">
      <w:pPr>
        <w:numPr>
          <w:ilvl w:val="0"/>
          <w:numId w:val="14"/>
        </w:numPr>
        <w:tabs>
          <w:tab w:val="left" w:pos="284"/>
          <w:tab w:val="left" w:pos="567"/>
        </w:tabs>
        <w:spacing w:after="120" w:line="240" w:lineRule="auto"/>
        <w:ind w:left="567" w:hanging="283"/>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līgumu par starpību maldinošas pārdošanas riska un ar to saistīto finansiālo seku samazināšana. Tas ir būtisks ieguvums privātajiem klientiem un finanšu tirg</w:t>
      </w:r>
      <w:r w:rsidR="0016726E" w:rsidRPr="00046FC6">
        <w:rPr>
          <w:rFonts w:ascii="Times New Roman" w:eastAsia="Times New Roman" w:hAnsi="Times New Roman" w:cs="Times New Roman"/>
          <w:bCs/>
          <w:sz w:val="24"/>
          <w:szCs w:val="24"/>
          <w:lang w:eastAsia="lv-LV"/>
        </w:rPr>
        <w:t>um</w:t>
      </w:r>
      <w:r w:rsidRPr="00046FC6">
        <w:rPr>
          <w:rFonts w:ascii="Times New Roman" w:eastAsia="Times New Roman" w:hAnsi="Times New Roman" w:cs="Times New Roman"/>
          <w:bCs/>
          <w:sz w:val="24"/>
          <w:szCs w:val="24"/>
          <w:lang w:eastAsia="lv-LV"/>
        </w:rPr>
        <w:t xml:space="preserve"> kopumā;</w:t>
      </w:r>
    </w:p>
    <w:p w14:paraId="75686CF0" w14:textId="54ED3F06" w:rsidR="00843A49" w:rsidRPr="00046FC6" w:rsidRDefault="00843A49" w:rsidP="00046FC6">
      <w:pPr>
        <w:numPr>
          <w:ilvl w:val="0"/>
          <w:numId w:val="14"/>
        </w:numPr>
        <w:tabs>
          <w:tab w:val="left" w:pos="284"/>
          <w:tab w:val="left" w:pos="567"/>
        </w:tabs>
        <w:spacing w:after="120" w:line="240" w:lineRule="auto"/>
        <w:ind w:left="567" w:hanging="283"/>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atjaunota ieguldītāju uzticīb</w:t>
      </w:r>
      <w:r w:rsidR="0016726E" w:rsidRPr="00046FC6">
        <w:rPr>
          <w:rFonts w:ascii="Times New Roman" w:eastAsia="Times New Roman" w:hAnsi="Times New Roman" w:cs="Times New Roman"/>
          <w:bCs/>
          <w:sz w:val="24"/>
          <w:szCs w:val="24"/>
          <w:lang w:eastAsia="lv-LV"/>
        </w:rPr>
        <w:t>a</w:t>
      </w:r>
      <w:r w:rsidRPr="00046FC6">
        <w:rPr>
          <w:rFonts w:ascii="Times New Roman" w:eastAsia="Times New Roman" w:hAnsi="Times New Roman" w:cs="Times New Roman"/>
          <w:bCs/>
          <w:sz w:val="24"/>
          <w:szCs w:val="24"/>
          <w:lang w:eastAsia="lv-LV"/>
        </w:rPr>
        <w:t xml:space="preserve"> finanšu tirg</w:t>
      </w:r>
      <w:r w:rsidR="0016726E" w:rsidRPr="00046FC6">
        <w:rPr>
          <w:rFonts w:ascii="Times New Roman" w:eastAsia="Times New Roman" w:hAnsi="Times New Roman" w:cs="Times New Roman"/>
          <w:bCs/>
          <w:sz w:val="24"/>
          <w:szCs w:val="24"/>
          <w:lang w:eastAsia="lv-LV"/>
        </w:rPr>
        <w:t>um</w:t>
      </w:r>
      <w:r w:rsidRPr="00046FC6">
        <w:rPr>
          <w:rFonts w:ascii="Times New Roman" w:eastAsia="Times New Roman" w:hAnsi="Times New Roman" w:cs="Times New Roman"/>
          <w:bCs/>
          <w:sz w:val="24"/>
          <w:szCs w:val="24"/>
          <w:lang w:eastAsia="lv-LV"/>
        </w:rPr>
        <w:t>, tostarp uzticēšanās pakalpojumu sniedzējiem, kuri darbojas šajā nozarē un kuri, iespējams, ir cietuši no kaitējuma reputācijai, ko radījušas problēmas, ar kurām saskaras ieguldītāji.</w:t>
      </w:r>
    </w:p>
    <w:p w14:paraId="197F4991" w14:textId="374130D9" w:rsidR="00843A49" w:rsidRPr="00046FC6" w:rsidRDefault="00843A49" w:rsidP="00046FC6">
      <w:pPr>
        <w:numPr>
          <w:ilvl w:val="0"/>
          <w:numId w:val="13"/>
        </w:numPr>
        <w:tabs>
          <w:tab w:val="left" w:pos="284"/>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Attiecībā uz finansiālajām izmaksām, ar kurām pakalpojumu sniedzēji saskarsies, īstenojot Latvijas Bankas prasībās noteikto, jāatzīmē, ka EVTI finanšu līgumu par starpību intervences lēmum</w:t>
      </w:r>
      <w:r w:rsidR="0016726E" w:rsidRPr="00046FC6">
        <w:rPr>
          <w:rFonts w:ascii="Times New Roman" w:eastAsia="Times New Roman" w:hAnsi="Times New Roman" w:cs="Times New Roman"/>
          <w:bCs/>
          <w:sz w:val="24"/>
          <w:szCs w:val="24"/>
          <w:lang w:eastAsia="lv-LV"/>
        </w:rPr>
        <w:t>u</w:t>
      </w:r>
      <w:r w:rsidRPr="00046FC6">
        <w:rPr>
          <w:rFonts w:ascii="Times New Roman" w:eastAsia="Times New Roman" w:hAnsi="Times New Roman" w:cs="Times New Roman"/>
          <w:bCs/>
          <w:sz w:val="24"/>
          <w:szCs w:val="24"/>
          <w:lang w:eastAsia="lv-LV"/>
        </w:rPr>
        <w:t xml:space="preserve"> prasības bija spēkā visā </w:t>
      </w:r>
      <w:r w:rsidR="002308A0" w:rsidRPr="00046FC6">
        <w:rPr>
          <w:rFonts w:ascii="Times New Roman" w:eastAsia="Times New Roman" w:hAnsi="Times New Roman" w:cs="Times New Roman"/>
          <w:bCs/>
          <w:sz w:val="24"/>
          <w:szCs w:val="24"/>
          <w:lang w:eastAsia="lv-LV"/>
        </w:rPr>
        <w:t>Eiropas Savienībā</w:t>
      </w:r>
      <w:r w:rsidRPr="00046FC6">
        <w:rPr>
          <w:rFonts w:ascii="Times New Roman" w:eastAsia="Times New Roman" w:hAnsi="Times New Roman" w:cs="Times New Roman"/>
          <w:bCs/>
          <w:sz w:val="24"/>
          <w:szCs w:val="24"/>
          <w:lang w:eastAsia="lv-LV"/>
        </w:rPr>
        <w:t xml:space="preserve"> kopš 2018.</w:t>
      </w:r>
      <w:r w:rsidR="002308A0"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1.</w:t>
      </w:r>
      <w:r w:rsidR="002308A0"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augusta un kopš 2020.</w:t>
      </w:r>
      <w:r w:rsidR="002308A0"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gada 14.</w:t>
      </w:r>
      <w:r w:rsidR="002308A0" w:rsidRPr="00046FC6">
        <w:rPr>
          <w:rFonts w:ascii="Times New Roman" w:eastAsia="Times New Roman" w:hAnsi="Times New Roman" w:cs="Times New Roman"/>
          <w:bCs/>
          <w:sz w:val="24"/>
          <w:szCs w:val="24"/>
          <w:lang w:eastAsia="lv-LV"/>
        </w:rPr>
        <w:t> </w:t>
      </w:r>
      <w:r w:rsidRPr="00046FC6">
        <w:rPr>
          <w:rFonts w:ascii="Times New Roman" w:eastAsia="Times New Roman" w:hAnsi="Times New Roman" w:cs="Times New Roman"/>
          <w:bCs/>
          <w:sz w:val="24"/>
          <w:szCs w:val="24"/>
          <w:lang w:eastAsia="lv-LV"/>
        </w:rPr>
        <w:t xml:space="preserve">augusta </w:t>
      </w:r>
      <w:r w:rsidR="0016726E" w:rsidRPr="00046FC6">
        <w:rPr>
          <w:rFonts w:ascii="Times New Roman" w:eastAsia="Times New Roman" w:hAnsi="Times New Roman" w:cs="Times New Roman"/>
          <w:bCs/>
          <w:sz w:val="24"/>
          <w:szCs w:val="24"/>
          <w:lang w:eastAsia="lv-LV"/>
        </w:rPr>
        <w:t xml:space="preserve">Latvijā </w:t>
      </w:r>
      <w:r w:rsidR="00022AA6" w:rsidRPr="00046FC6">
        <w:rPr>
          <w:rFonts w:ascii="Times New Roman" w:eastAsia="Times New Roman" w:hAnsi="Times New Roman" w:cs="Times New Roman"/>
          <w:bCs/>
          <w:sz w:val="24"/>
          <w:szCs w:val="24"/>
          <w:lang w:eastAsia="lv-LV"/>
        </w:rPr>
        <w:t xml:space="preserve">ir </w:t>
      </w:r>
      <w:r w:rsidRPr="00046FC6">
        <w:rPr>
          <w:rFonts w:ascii="Times New Roman" w:eastAsia="Times New Roman" w:hAnsi="Times New Roman" w:cs="Times New Roman"/>
          <w:bCs/>
          <w:sz w:val="24"/>
          <w:szCs w:val="24"/>
          <w:lang w:eastAsia="lv-LV"/>
        </w:rPr>
        <w:t xml:space="preserve">spēkā jau </w:t>
      </w:r>
      <w:r w:rsidR="0016726E" w:rsidRPr="00046FC6">
        <w:rPr>
          <w:rFonts w:ascii="Times New Roman" w:eastAsia="Times New Roman" w:hAnsi="Times New Roman" w:cs="Times New Roman"/>
          <w:bCs/>
          <w:sz w:val="24"/>
          <w:szCs w:val="24"/>
          <w:lang w:eastAsia="lv-LV"/>
        </w:rPr>
        <w:t>līdzīg</w:t>
      </w:r>
      <w:r w:rsidR="00E159AF" w:rsidRPr="00046FC6">
        <w:rPr>
          <w:rFonts w:ascii="Times New Roman" w:eastAsia="Times New Roman" w:hAnsi="Times New Roman" w:cs="Times New Roman"/>
          <w:bCs/>
          <w:sz w:val="24"/>
          <w:szCs w:val="24"/>
          <w:lang w:eastAsia="lv-LV"/>
        </w:rPr>
        <w:t>s regulējums –</w:t>
      </w:r>
      <w:r w:rsidR="0016726E" w:rsidRPr="00046FC6">
        <w:rPr>
          <w:rFonts w:ascii="Times New Roman" w:eastAsia="Times New Roman" w:hAnsi="Times New Roman" w:cs="Times New Roman"/>
          <w:bCs/>
          <w:sz w:val="24"/>
          <w:szCs w:val="24"/>
          <w:lang w:eastAsia="lv-LV"/>
        </w:rPr>
        <w:t xml:space="preserve"> N</w:t>
      </w:r>
      <w:r w:rsidRPr="00046FC6">
        <w:rPr>
          <w:rFonts w:ascii="Times New Roman" w:eastAsia="Times New Roman" w:hAnsi="Times New Roman" w:cs="Times New Roman"/>
          <w:sz w:val="24"/>
          <w:szCs w:val="24"/>
          <w:lang w:eastAsia="lv-LV"/>
        </w:rPr>
        <w:t>oteikum</w:t>
      </w:r>
      <w:r w:rsidR="00E159AF" w:rsidRPr="00046FC6">
        <w:rPr>
          <w:rFonts w:ascii="Times New Roman" w:eastAsia="Times New Roman" w:hAnsi="Times New Roman" w:cs="Times New Roman"/>
          <w:sz w:val="24"/>
          <w:szCs w:val="24"/>
          <w:lang w:eastAsia="lv-LV"/>
        </w:rPr>
        <w:t>i</w:t>
      </w:r>
      <w:r w:rsidRPr="00046FC6">
        <w:rPr>
          <w:rFonts w:ascii="Times New Roman" w:eastAsia="Times New Roman" w:hAnsi="Times New Roman" w:cs="Times New Roman"/>
          <w:sz w:val="24"/>
          <w:szCs w:val="24"/>
          <w:lang w:eastAsia="lv-LV"/>
        </w:rPr>
        <w:t xml:space="preserve"> Nr. 119</w:t>
      </w:r>
      <w:r w:rsidRPr="00046FC6">
        <w:rPr>
          <w:rFonts w:ascii="Times New Roman" w:eastAsia="Times New Roman" w:hAnsi="Times New Roman" w:cs="Times New Roman"/>
          <w:bCs/>
          <w:sz w:val="24"/>
          <w:szCs w:val="24"/>
          <w:lang w:eastAsia="lv-LV"/>
        </w:rPr>
        <w:t>.</w:t>
      </w:r>
    </w:p>
    <w:p w14:paraId="08228C51" w14:textId="0094485E"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Pasākumiem nav diskriminējošas ietekmes uz pakalpojumiem, ko sniedz no citas dalībvalsts (</w:t>
      </w:r>
      <w:r w:rsidR="002308A0"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e)</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7CC56A75" w14:textId="6D1620A2" w:rsidR="00843A49" w:rsidRPr="00046FC6" w:rsidRDefault="00843A49"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r w:rsidRPr="00046FC6">
        <w:rPr>
          <w:rFonts w:ascii="Times New Roman" w:eastAsia="Times New Roman" w:hAnsi="Times New Roman" w:cs="Times New Roman"/>
          <w:bCs/>
          <w:sz w:val="24"/>
          <w:szCs w:val="24"/>
          <w:lang w:eastAsia="lv-LV"/>
        </w:rPr>
        <w:t xml:space="preserve">Latvijas Banka uzskata, ka </w:t>
      </w:r>
      <w:r w:rsidR="0016726E" w:rsidRPr="00046FC6">
        <w:rPr>
          <w:rFonts w:ascii="Times New Roman" w:eastAsia="Times New Roman" w:hAnsi="Times New Roman" w:cs="Times New Roman"/>
          <w:bCs/>
          <w:sz w:val="24"/>
          <w:szCs w:val="24"/>
          <w:lang w:eastAsia="lv-LV"/>
        </w:rPr>
        <w:t>noteikumu projektam n</w:t>
      </w:r>
      <w:r w:rsidRPr="00046FC6">
        <w:rPr>
          <w:rFonts w:ascii="Times New Roman" w:eastAsia="Times New Roman" w:hAnsi="Times New Roman" w:cs="Times New Roman"/>
          <w:bCs/>
          <w:sz w:val="24"/>
          <w:szCs w:val="24"/>
          <w:lang w:eastAsia="lv-LV"/>
        </w:rPr>
        <w:t xml:space="preserve">av diskriminējošas ietekmes uz pakalpojumiem vai darbībām, kas tiek veiktas no citas dalībvalsts, jo </w:t>
      </w:r>
      <w:r w:rsidR="0016726E" w:rsidRPr="00046FC6">
        <w:rPr>
          <w:rFonts w:ascii="Times New Roman" w:eastAsia="Times New Roman" w:hAnsi="Times New Roman" w:cs="Times New Roman"/>
          <w:bCs/>
          <w:sz w:val="24"/>
          <w:szCs w:val="24"/>
          <w:lang w:eastAsia="lv-LV"/>
        </w:rPr>
        <w:t xml:space="preserve">noteikumu projekts </w:t>
      </w:r>
      <w:r w:rsidRPr="00046FC6">
        <w:rPr>
          <w:rFonts w:ascii="Times New Roman" w:eastAsia="Times New Roman" w:hAnsi="Times New Roman" w:cs="Times New Roman"/>
          <w:bCs/>
          <w:sz w:val="24"/>
          <w:szCs w:val="24"/>
          <w:lang w:eastAsia="lv-LV"/>
        </w:rPr>
        <w:t xml:space="preserve">nodrošina vienlīdzīgu attieksmi pret līgumu par starpību </w:t>
      </w:r>
      <w:r w:rsidRPr="00046FC6">
        <w:rPr>
          <w:rFonts w:ascii="Times New Roman" w:eastAsia="Times New Roman" w:hAnsi="Times New Roman" w:cs="Times New Roman"/>
          <w:sz w:val="24"/>
          <w:szCs w:val="24"/>
          <w:lang w:eastAsia="lv-LV"/>
        </w:rPr>
        <w:t>reklamēšanu</w:t>
      </w:r>
      <w:r w:rsidRPr="00046FC6">
        <w:rPr>
          <w:rFonts w:ascii="Times New Roman" w:eastAsia="Times New Roman" w:hAnsi="Times New Roman" w:cs="Times New Roman"/>
          <w:bCs/>
          <w:sz w:val="24"/>
          <w:szCs w:val="24"/>
          <w:lang w:eastAsia="lv-LV"/>
        </w:rPr>
        <w:t>, izplatīšanu vai pārdošanu neatkarīgi no dalībvalsts, no kuras šie pakalpojumi vai darbības tiek veiktas.</w:t>
      </w:r>
    </w:p>
    <w:p w14:paraId="465BD9FC" w14:textId="211A774D" w:rsidR="00843A49" w:rsidRPr="00046FC6" w:rsidRDefault="00843A49" w:rsidP="00046FC6">
      <w:pPr>
        <w:tabs>
          <w:tab w:val="decimal" w:pos="426"/>
        </w:tabs>
        <w:spacing w:after="120" w:line="240" w:lineRule="auto"/>
        <w:rPr>
          <w:rFonts w:ascii="Times New Roman" w:eastAsia="Times New Roman" w:hAnsi="Times New Roman" w:cs="Times New Roman"/>
          <w:b/>
          <w:sz w:val="24"/>
          <w:szCs w:val="24"/>
          <w:lang w:eastAsia="lv-LV"/>
        </w:rPr>
      </w:pPr>
      <w:r w:rsidRPr="00046FC6">
        <w:rPr>
          <w:rFonts w:ascii="Times New Roman" w:eastAsia="Times New Roman" w:hAnsi="Times New Roman" w:cs="Times New Roman"/>
          <w:b/>
          <w:sz w:val="24"/>
          <w:szCs w:val="24"/>
          <w:lang w:eastAsia="lv-LV"/>
        </w:rPr>
        <w:t>Apspriešanās un paziņošana (</w:t>
      </w:r>
      <w:r w:rsidR="002308A0" w:rsidRPr="00046FC6">
        <w:rPr>
          <w:rFonts w:ascii="Times New Roman" w:eastAsia="Times New Roman" w:hAnsi="Times New Roman" w:cs="Times New Roman"/>
          <w:b/>
          <w:sz w:val="24"/>
          <w:szCs w:val="24"/>
          <w:lang w:eastAsia="lv-LV"/>
        </w:rPr>
        <w:t xml:space="preserve">Regulas Nr. 600/2014 </w:t>
      </w:r>
      <w:r w:rsidRPr="00046FC6">
        <w:rPr>
          <w:rFonts w:ascii="Times New Roman" w:eastAsia="Times New Roman" w:hAnsi="Times New Roman" w:cs="Times New Roman"/>
          <w:b/>
          <w:sz w:val="24"/>
          <w:szCs w:val="24"/>
          <w:lang w:eastAsia="lv-LV"/>
        </w:rPr>
        <w:t>42.</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panta 2.</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punkta d) un f)</w:t>
      </w:r>
      <w:r w:rsidR="002308A0" w:rsidRPr="00046FC6">
        <w:rPr>
          <w:rFonts w:ascii="Times New Roman" w:eastAsia="Times New Roman" w:hAnsi="Times New Roman" w:cs="Times New Roman"/>
          <w:b/>
          <w:sz w:val="24"/>
          <w:szCs w:val="24"/>
          <w:lang w:eastAsia="lv-LV"/>
        </w:rPr>
        <w:t> </w:t>
      </w:r>
      <w:r w:rsidRPr="00046FC6">
        <w:rPr>
          <w:rFonts w:ascii="Times New Roman" w:eastAsia="Times New Roman" w:hAnsi="Times New Roman" w:cs="Times New Roman"/>
          <w:b/>
          <w:sz w:val="24"/>
          <w:szCs w:val="24"/>
          <w:lang w:eastAsia="lv-LV"/>
        </w:rPr>
        <w:t>apakšpunkts)</w:t>
      </w:r>
    </w:p>
    <w:p w14:paraId="7597A0B1" w14:textId="2BE65CCF" w:rsidR="00843A49" w:rsidRPr="00046FC6" w:rsidRDefault="002308A0" w:rsidP="00423108">
      <w:pPr>
        <w:numPr>
          <w:ilvl w:val="0"/>
          <w:numId w:val="13"/>
        </w:numPr>
        <w:tabs>
          <w:tab w:val="decimal" w:pos="426"/>
        </w:tabs>
        <w:spacing w:after="120" w:line="240" w:lineRule="auto"/>
        <w:ind w:left="0" w:firstLine="0"/>
        <w:jc w:val="both"/>
        <w:rPr>
          <w:rFonts w:ascii="Times New Roman" w:eastAsia="Times New Roman" w:hAnsi="Times New Roman" w:cs="Times New Roman"/>
          <w:bCs/>
          <w:sz w:val="24"/>
          <w:szCs w:val="24"/>
          <w:lang w:eastAsia="lv-LV"/>
        </w:rPr>
      </w:pPr>
      <w:bookmarkStart w:id="21" w:name="_Hlk174006301"/>
      <w:r w:rsidRPr="00046FC6">
        <w:rPr>
          <w:rFonts w:ascii="Times New Roman" w:eastAsia="Times New Roman" w:hAnsi="Times New Roman" w:cs="Times New Roman"/>
          <w:bCs/>
          <w:sz w:val="24"/>
          <w:szCs w:val="24"/>
          <w:lang w:eastAsia="lv-LV"/>
        </w:rPr>
        <w:t>Regulas Nr. 600/2014</w:t>
      </w:r>
      <w:r w:rsidR="00843A49" w:rsidRPr="00046FC6">
        <w:rPr>
          <w:rFonts w:ascii="Times New Roman" w:eastAsia="Times New Roman" w:hAnsi="Times New Roman" w:cs="Times New Roman"/>
          <w:bCs/>
          <w:sz w:val="24"/>
          <w:szCs w:val="24"/>
          <w:lang w:eastAsia="lv-LV"/>
        </w:rPr>
        <w:t xml:space="preserve"> 42.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punkta d)</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 xml:space="preserve">apakšpunkts paredz </w:t>
      </w:r>
      <w:r w:rsidR="00022AA6" w:rsidRPr="00046FC6">
        <w:rPr>
          <w:rFonts w:ascii="Times New Roman" w:eastAsia="Times New Roman" w:hAnsi="Times New Roman" w:cs="Times New Roman"/>
          <w:bCs/>
          <w:sz w:val="24"/>
          <w:szCs w:val="24"/>
          <w:lang w:eastAsia="lv-LV"/>
        </w:rPr>
        <w:t>kompetentajai iestādei (</w:t>
      </w:r>
      <w:r w:rsidR="00843A49" w:rsidRPr="00046FC6">
        <w:rPr>
          <w:rFonts w:ascii="Times New Roman" w:eastAsia="Times New Roman" w:hAnsi="Times New Roman" w:cs="Times New Roman"/>
          <w:bCs/>
          <w:sz w:val="24"/>
          <w:szCs w:val="24"/>
          <w:lang w:eastAsia="lv-LV"/>
        </w:rPr>
        <w:t>Latvijas Bankai</w:t>
      </w:r>
      <w:r w:rsidR="00022AA6" w:rsidRPr="00046FC6">
        <w:rPr>
          <w:rFonts w:ascii="Times New Roman" w:eastAsia="Times New Roman" w:hAnsi="Times New Roman" w:cs="Times New Roman"/>
          <w:bCs/>
          <w:sz w:val="24"/>
          <w:szCs w:val="24"/>
          <w:lang w:eastAsia="lv-LV"/>
        </w:rPr>
        <w:t>)</w:t>
      </w:r>
      <w:r w:rsidR="00843A49" w:rsidRPr="00046FC6">
        <w:rPr>
          <w:rFonts w:ascii="Times New Roman" w:eastAsia="Times New Roman" w:hAnsi="Times New Roman" w:cs="Times New Roman"/>
          <w:bCs/>
          <w:sz w:val="24"/>
          <w:szCs w:val="24"/>
          <w:lang w:eastAsia="lv-LV"/>
        </w:rPr>
        <w:t xml:space="preserve"> tiesības ierobežot konkrētu finanšu instrumentu piedāvāšanu dalībvalstī vai no tās, ja kompetentā iestāde ir pienācīgi apspriedusies ar kompetentajām iestādēm citās dalībvalstīs, kuras šī rīcība varētu ievērojami ietekmēt. Vienlaikus Regulas Nr.</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600/2014 42.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3.</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punkts paredz kompetent</w:t>
      </w:r>
      <w:r w:rsidR="00E159AF" w:rsidRPr="00046FC6">
        <w:rPr>
          <w:rFonts w:ascii="Times New Roman" w:eastAsia="Times New Roman" w:hAnsi="Times New Roman" w:cs="Times New Roman"/>
          <w:bCs/>
          <w:sz w:val="24"/>
          <w:szCs w:val="24"/>
          <w:lang w:eastAsia="lv-LV"/>
        </w:rPr>
        <w:t>aj</w:t>
      </w:r>
      <w:r w:rsidR="00843A49" w:rsidRPr="00046FC6">
        <w:rPr>
          <w:rFonts w:ascii="Times New Roman" w:eastAsia="Times New Roman" w:hAnsi="Times New Roman" w:cs="Times New Roman"/>
          <w:bCs/>
          <w:sz w:val="24"/>
          <w:szCs w:val="24"/>
          <w:lang w:eastAsia="lv-LV"/>
        </w:rPr>
        <w:t xml:space="preserve">ai iestādei pienākumu vismaz mēnesi pirms ierobežojumu stāšanās spēkā detalizēti paziņot pārējo dalībvalstu kompetentajām iestādēm un EVTI </w:t>
      </w:r>
      <w:r w:rsidR="00E159AF" w:rsidRPr="00046FC6">
        <w:rPr>
          <w:rFonts w:ascii="Times New Roman" w:eastAsia="Times New Roman" w:hAnsi="Times New Roman" w:cs="Times New Roman"/>
          <w:bCs/>
          <w:sz w:val="24"/>
          <w:szCs w:val="24"/>
          <w:lang w:eastAsia="lv-LV"/>
        </w:rPr>
        <w:t xml:space="preserve">par </w:t>
      </w:r>
      <w:r w:rsidR="00843A49" w:rsidRPr="00046FC6">
        <w:rPr>
          <w:rFonts w:ascii="Times New Roman" w:eastAsia="Times New Roman" w:hAnsi="Times New Roman" w:cs="Times New Roman"/>
          <w:bCs/>
          <w:sz w:val="24"/>
          <w:szCs w:val="24"/>
          <w:lang w:eastAsia="lv-LV"/>
        </w:rPr>
        <w:t xml:space="preserve">finanšu instrumentu, uz kuru ierobežojums attieksies, ierobežojuma veidu un to, kad tam paredzēts stāties spēkā, kā arī </w:t>
      </w:r>
      <w:r w:rsidR="00E159AF" w:rsidRPr="00046FC6">
        <w:rPr>
          <w:rFonts w:ascii="Times New Roman" w:eastAsia="Times New Roman" w:hAnsi="Times New Roman" w:cs="Times New Roman"/>
          <w:bCs/>
          <w:sz w:val="24"/>
          <w:szCs w:val="24"/>
          <w:lang w:eastAsia="lv-LV"/>
        </w:rPr>
        <w:t xml:space="preserve">sniegt </w:t>
      </w:r>
      <w:r w:rsidR="00843A49" w:rsidRPr="00046FC6">
        <w:rPr>
          <w:rFonts w:ascii="Times New Roman" w:eastAsia="Times New Roman" w:hAnsi="Times New Roman" w:cs="Times New Roman"/>
          <w:bCs/>
          <w:sz w:val="24"/>
          <w:szCs w:val="24"/>
          <w:lang w:eastAsia="lv-LV"/>
        </w:rPr>
        <w:t>pierādījumus, uz kuriem pamatots lēmums piemērot ierobežojumus un kuri apliecina katra Regulas Nr.</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600/2014 42.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punktā minētā nosacījuma izpildi. Lai nodrošinātu atbilstību šīm prasībām, Latvijas Banka pirms noteikumu projekta apstiprināšanas plāno konsultēties ar pārējām dalībvalstīm un EVTI.</w:t>
      </w:r>
    </w:p>
    <w:p w14:paraId="0A4DD0C3" w14:textId="5AFBCBAC" w:rsidR="00E53DE9" w:rsidRPr="00046FC6" w:rsidRDefault="002308A0" w:rsidP="00423108">
      <w:pPr>
        <w:numPr>
          <w:ilvl w:val="0"/>
          <w:numId w:val="13"/>
        </w:numPr>
        <w:tabs>
          <w:tab w:val="decimal" w:pos="426"/>
        </w:tabs>
        <w:spacing w:after="120" w:line="240" w:lineRule="auto"/>
        <w:ind w:left="0" w:firstLine="0"/>
        <w:jc w:val="both"/>
        <w:rPr>
          <w:rFonts w:ascii="Times New Roman" w:hAnsi="Times New Roman" w:cs="Times New Roman"/>
          <w:sz w:val="24"/>
          <w:szCs w:val="24"/>
        </w:rPr>
      </w:pPr>
      <w:r w:rsidRPr="00046FC6">
        <w:rPr>
          <w:rFonts w:ascii="Times New Roman" w:eastAsia="Times New Roman" w:hAnsi="Times New Roman" w:cs="Times New Roman"/>
          <w:bCs/>
          <w:sz w:val="24"/>
          <w:szCs w:val="24"/>
          <w:lang w:eastAsia="lv-LV"/>
        </w:rPr>
        <w:t xml:space="preserve">Regulas Nr. 600/2014 </w:t>
      </w:r>
      <w:r w:rsidR="00843A49" w:rsidRPr="00046FC6">
        <w:rPr>
          <w:rFonts w:ascii="Times New Roman" w:eastAsia="Times New Roman" w:hAnsi="Times New Roman" w:cs="Times New Roman"/>
          <w:bCs/>
          <w:sz w:val="24"/>
          <w:szCs w:val="24"/>
          <w:lang w:eastAsia="lv-LV"/>
        </w:rPr>
        <w:t>42.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punkta f)</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 xml:space="preserve">apakšpunkts paredz Latvijas Bankai tiesības ierobežot konkrētu finanšu instrumentu piedāvāšanu dalībvalstī vai no tās, ja tā ir pienācīgi konsultējusies ar publiskajām struktūrām, kas ir atbildīgas par fizisku lauksaimniecības tirgu pārraudzību, pārvaldību un regulēšanu, </w:t>
      </w:r>
      <w:r w:rsidR="00E159AF" w:rsidRPr="00046FC6">
        <w:rPr>
          <w:rFonts w:ascii="Times New Roman" w:eastAsia="Times New Roman" w:hAnsi="Times New Roman" w:cs="Times New Roman"/>
          <w:bCs/>
          <w:sz w:val="24"/>
          <w:szCs w:val="24"/>
          <w:lang w:eastAsia="lv-LV"/>
        </w:rPr>
        <w:t>k</w:t>
      </w:r>
      <w:r w:rsidR="00843A49" w:rsidRPr="00046FC6">
        <w:rPr>
          <w:rFonts w:ascii="Times New Roman" w:eastAsia="Times New Roman" w:hAnsi="Times New Roman" w:cs="Times New Roman"/>
          <w:bCs/>
          <w:sz w:val="24"/>
          <w:szCs w:val="24"/>
          <w:lang w:eastAsia="lv-LV"/>
        </w:rPr>
        <w:t>a</w:t>
      </w:r>
      <w:r w:rsidR="00E159AF" w:rsidRPr="00046FC6">
        <w:rPr>
          <w:rFonts w:ascii="Times New Roman" w:eastAsia="Times New Roman" w:hAnsi="Times New Roman" w:cs="Times New Roman"/>
          <w:bCs/>
          <w:sz w:val="24"/>
          <w:szCs w:val="24"/>
          <w:lang w:eastAsia="lv-LV"/>
        </w:rPr>
        <w:t>d</w:t>
      </w:r>
      <w:r w:rsidR="00843A49" w:rsidRPr="00046FC6">
        <w:rPr>
          <w:rFonts w:ascii="Times New Roman" w:eastAsia="Times New Roman" w:hAnsi="Times New Roman" w:cs="Times New Roman"/>
          <w:bCs/>
          <w:sz w:val="24"/>
          <w:szCs w:val="24"/>
          <w:lang w:eastAsia="lv-LV"/>
        </w:rPr>
        <w:t xml:space="preserve"> finanšu instruments rada nopietnus draudus pareizai fiziska lauksaimniecības tirgus darbībai un integritātei. Latvijas Bankas ieskatā bināro iespēju līgumi un līgumi par starpību nerada nopietnus draudus pareizai fiziska lauksaimniecības tirgus darbībai un integritātei. Tādēļ Regulas Nr.</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600/2014 42.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panta 2.</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punkta f)</w:t>
      </w:r>
      <w:r w:rsidRPr="00046FC6">
        <w:rPr>
          <w:rFonts w:ascii="Times New Roman" w:eastAsia="Times New Roman" w:hAnsi="Times New Roman" w:cs="Times New Roman"/>
          <w:bCs/>
          <w:sz w:val="24"/>
          <w:szCs w:val="24"/>
          <w:lang w:eastAsia="lv-LV"/>
        </w:rPr>
        <w:t> </w:t>
      </w:r>
      <w:r w:rsidR="00843A49" w:rsidRPr="00046FC6">
        <w:rPr>
          <w:rFonts w:ascii="Times New Roman" w:eastAsia="Times New Roman" w:hAnsi="Times New Roman" w:cs="Times New Roman"/>
          <w:bCs/>
          <w:sz w:val="24"/>
          <w:szCs w:val="24"/>
          <w:lang w:eastAsia="lv-LV"/>
        </w:rPr>
        <w:t>apakšpunkts uz noteikumu projektu nav attiecināms.</w:t>
      </w:r>
      <w:bookmarkEnd w:id="21"/>
    </w:p>
    <w:sectPr w:rsidR="00E53DE9" w:rsidRPr="00046FC6"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462E2" w14:textId="77777777" w:rsidR="00983084" w:rsidRPr="003C38E7" w:rsidRDefault="00983084" w:rsidP="009B27BE">
      <w:pPr>
        <w:spacing w:after="0" w:line="240" w:lineRule="auto"/>
      </w:pPr>
      <w:r w:rsidRPr="003C38E7">
        <w:separator/>
      </w:r>
    </w:p>
  </w:endnote>
  <w:endnote w:type="continuationSeparator" w:id="0">
    <w:p w14:paraId="5E94AF0C" w14:textId="77777777" w:rsidR="00983084" w:rsidRPr="003C38E7" w:rsidRDefault="00983084" w:rsidP="009B27BE">
      <w:pPr>
        <w:spacing w:after="0" w:line="240" w:lineRule="auto"/>
      </w:pPr>
      <w:r w:rsidRPr="003C38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EUAlbertina">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07213" w14:textId="77777777" w:rsidR="00983084" w:rsidRPr="003C38E7" w:rsidRDefault="00983084" w:rsidP="009B27BE">
      <w:pPr>
        <w:spacing w:after="0" w:line="240" w:lineRule="auto"/>
      </w:pPr>
      <w:r w:rsidRPr="003C38E7">
        <w:separator/>
      </w:r>
    </w:p>
  </w:footnote>
  <w:footnote w:type="continuationSeparator" w:id="0">
    <w:p w14:paraId="2C6C7B06" w14:textId="77777777" w:rsidR="00983084" w:rsidRPr="003C38E7" w:rsidRDefault="00983084" w:rsidP="009B27BE">
      <w:pPr>
        <w:spacing w:after="0" w:line="240" w:lineRule="auto"/>
      </w:pPr>
      <w:r w:rsidRPr="003C38E7">
        <w:continuationSeparator/>
      </w:r>
    </w:p>
  </w:footnote>
  <w:footnote w:id="1">
    <w:p w14:paraId="125895F1" w14:textId="2411A684" w:rsidR="00CA0B2A" w:rsidRPr="00046FC6" w:rsidRDefault="00CA0B2A" w:rsidP="00D8509C">
      <w:pPr>
        <w:pStyle w:val="FootnoteText"/>
        <w:spacing w:after="120"/>
        <w:jc w:val="both"/>
        <w:rPr>
          <w:rFonts w:ascii="Times New Roman" w:hAnsi="Times New Roman" w:cs="Times New Roman"/>
        </w:rPr>
      </w:pPr>
      <w:r w:rsidRPr="00046FC6">
        <w:rPr>
          <w:rStyle w:val="FootnoteReference"/>
          <w:rFonts w:ascii="Times New Roman" w:hAnsi="Times New Roman" w:cs="Times New Roman"/>
        </w:rPr>
        <w:footnoteRef/>
      </w:r>
      <w:r w:rsidR="00332964" w:rsidRPr="009E7F1C">
        <w:rPr>
          <w:rFonts w:ascii="Times New Roman" w:hAnsi="Times New Roman" w:cs="Times New Roman"/>
          <w:color w:val="000000" w:themeColor="text1"/>
        </w:rPr>
        <w:t xml:space="preserve"> </w:t>
      </w:r>
      <w:bookmarkStart w:id="2" w:name="_Hlk174004941"/>
      <w:r w:rsidRPr="009E7F1C">
        <w:fldChar w:fldCharType="begin"/>
      </w:r>
      <w:r w:rsidRPr="00046FC6">
        <w:rPr>
          <w:rFonts w:ascii="Times New Roman" w:hAnsi="Times New Roman" w:cs="Times New Roman"/>
        </w:rPr>
        <w:instrText>HYPERLINK "https://eur-lex.europa.eu/legal-content/LV/TXT/?uri=CELEX:32018X0601(02)"</w:instrText>
      </w:r>
      <w:r w:rsidRPr="009E7F1C">
        <w:fldChar w:fldCharType="separate"/>
      </w:r>
      <w:r w:rsidR="00332964" w:rsidRPr="009E7F1C">
        <w:rPr>
          <w:rStyle w:val="Hyperlink"/>
          <w:rFonts w:ascii="Times New Roman" w:hAnsi="Times New Roman" w:cs="Times New Roman"/>
        </w:rPr>
        <w:t>EVTI 2018. gada 22. maija lēmums (ES) 2018/796 par cenu starpību līgumu pagaidu ierobežošanu Savienībā saskaņā ar Eiropas Parlamenta un Padomes regulas (ES) Nr. 600/2014 40. pantu</w:t>
      </w:r>
      <w:r w:rsidRPr="009E7F1C">
        <w:rPr>
          <w:rStyle w:val="Hyperlink"/>
          <w:rFonts w:ascii="Times New Roman" w:hAnsi="Times New Roman" w:cs="Times New Roman"/>
        </w:rPr>
        <w:fldChar w:fldCharType="end"/>
      </w:r>
      <w:bookmarkEnd w:id="2"/>
      <w:r w:rsidR="00182AB2" w:rsidRPr="009E7F1C">
        <w:rPr>
          <w:rFonts w:ascii="Times New Roman" w:hAnsi="Times New Roman" w:cs="Times New Roman"/>
          <w:color w:val="000000" w:themeColor="text1"/>
        </w:rPr>
        <w:t>.</w:t>
      </w:r>
    </w:p>
  </w:footnote>
  <w:footnote w:id="2">
    <w:p w14:paraId="29CCBFA9" w14:textId="30D2823D" w:rsidR="00AF312B" w:rsidRPr="00046FC6" w:rsidRDefault="00AF312B" w:rsidP="00D8509C">
      <w:pPr>
        <w:pStyle w:val="FootnoteText"/>
        <w:spacing w:after="120"/>
        <w:jc w:val="both"/>
        <w:rPr>
          <w:rFonts w:ascii="Times New Roman" w:hAnsi="Times New Roman" w:cs="Times New Roman"/>
        </w:rPr>
      </w:pPr>
      <w:r w:rsidRPr="009E7F1C">
        <w:rPr>
          <w:rStyle w:val="FootnoteReference"/>
          <w:rFonts w:ascii="Times New Roman" w:hAnsi="Times New Roman" w:cs="Times New Roman"/>
          <w:color w:val="000000" w:themeColor="text1"/>
        </w:rPr>
        <w:footnoteRef/>
      </w:r>
      <w:r w:rsidRPr="009E7F1C">
        <w:rPr>
          <w:rFonts w:ascii="Times New Roman" w:hAnsi="Times New Roman" w:cs="Times New Roman"/>
          <w:color w:val="000000" w:themeColor="text1"/>
        </w:rPr>
        <w:t xml:space="preserve"> </w:t>
      </w:r>
      <w:hyperlink r:id="rId1" w:history="1">
        <w:r w:rsidRPr="009E7F1C">
          <w:rPr>
            <w:rStyle w:val="Hyperlink"/>
            <w:rFonts w:ascii="Times New Roman" w:hAnsi="Times New Roman" w:cs="Times New Roman"/>
          </w:rPr>
          <w:t>EVTI 2018. gada 23.</w:t>
        </w:r>
        <w:r w:rsidR="00A61159" w:rsidRPr="009E7F1C">
          <w:rPr>
            <w:rStyle w:val="Hyperlink"/>
            <w:rFonts w:ascii="Times New Roman" w:hAnsi="Times New Roman" w:cs="Times New Roman"/>
          </w:rPr>
          <w:t> </w:t>
        </w:r>
        <w:r w:rsidRPr="009E7F1C">
          <w:rPr>
            <w:rStyle w:val="Hyperlink"/>
            <w:rFonts w:ascii="Times New Roman" w:hAnsi="Times New Roman" w:cs="Times New Roman"/>
          </w:rPr>
          <w:t>oktobra lēmums (ES) 2018/1636 par pagaidu ierobežojuma atjaunošanu un grozīšanu attiecībā uz lēmumu (ES)</w:t>
        </w:r>
        <w:r w:rsidR="00A61159" w:rsidRPr="009E7F1C">
          <w:rPr>
            <w:rStyle w:val="Hyperlink"/>
            <w:rFonts w:ascii="Times New Roman" w:hAnsi="Times New Roman" w:cs="Times New Roman"/>
          </w:rPr>
          <w:t> </w:t>
        </w:r>
        <w:r w:rsidRPr="009E7F1C">
          <w:rPr>
            <w:rStyle w:val="Hyperlink"/>
            <w:rFonts w:ascii="Times New Roman" w:hAnsi="Times New Roman" w:cs="Times New Roman"/>
          </w:rPr>
          <w:t>2018/796 par cenu starpības līgumu izplatīšanu vai pārdošanu privātajiem klientiem</w:t>
        </w:r>
      </w:hyperlink>
      <w:r w:rsidR="00182AB2" w:rsidRPr="009E7F1C">
        <w:rPr>
          <w:rFonts w:ascii="Times New Roman" w:hAnsi="Times New Roman" w:cs="Times New Roman"/>
          <w:color w:val="000000" w:themeColor="text1"/>
        </w:rPr>
        <w:t>.</w:t>
      </w:r>
    </w:p>
  </w:footnote>
  <w:footnote w:id="3">
    <w:p w14:paraId="294D226E" w14:textId="33105E00" w:rsidR="005E304E" w:rsidRPr="00046FC6" w:rsidRDefault="005E304E" w:rsidP="00D8509C">
      <w:pPr>
        <w:pStyle w:val="FootnoteText"/>
        <w:spacing w:after="120"/>
        <w:jc w:val="both"/>
        <w:rPr>
          <w:rFonts w:ascii="Times New Roman" w:hAnsi="Times New Roman" w:cs="Times New Roman"/>
        </w:rPr>
      </w:pPr>
      <w:r w:rsidRPr="009E7F1C">
        <w:rPr>
          <w:rStyle w:val="FootnoteReference"/>
          <w:rFonts w:ascii="Times New Roman" w:hAnsi="Times New Roman" w:cs="Times New Roman"/>
          <w:color w:val="000000" w:themeColor="text1"/>
        </w:rPr>
        <w:footnoteRef/>
      </w:r>
      <w:r w:rsidRPr="009E7F1C">
        <w:rPr>
          <w:rFonts w:ascii="Times New Roman" w:hAnsi="Times New Roman" w:cs="Times New Roman"/>
          <w:color w:val="000000" w:themeColor="text1"/>
        </w:rPr>
        <w:t xml:space="preserve"> </w:t>
      </w:r>
      <w:hyperlink r:id="rId2" w:history="1">
        <w:r w:rsidRPr="009E7F1C">
          <w:rPr>
            <w:rStyle w:val="Hyperlink"/>
            <w:rFonts w:ascii="Times New Roman" w:hAnsi="Times New Roman" w:cs="Times New Roman"/>
          </w:rPr>
          <w:t>EVTI 2019. gada 23.</w:t>
        </w:r>
        <w:r w:rsidR="00332964" w:rsidRPr="009E7F1C">
          <w:rPr>
            <w:rStyle w:val="Hyperlink"/>
            <w:rFonts w:ascii="Times New Roman" w:hAnsi="Times New Roman" w:cs="Times New Roman"/>
          </w:rPr>
          <w:t> </w:t>
        </w:r>
        <w:r w:rsidRPr="009E7F1C">
          <w:rPr>
            <w:rStyle w:val="Hyperlink"/>
            <w:rFonts w:ascii="Times New Roman" w:hAnsi="Times New Roman" w:cs="Times New Roman"/>
          </w:rPr>
          <w:t>janvāra lēmums (ES) 2019/155, ar ko atjauno pagaidu ierobežojumu par cenu starpības līgumu tirdzniecību, izplatīšanu vai pārdošanu privātajiem klientiem</w:t>
        </w:r>
      </w:hyperlink>
      <w:r w:rsidR="00182AB2" w:rsidRPr="009E7F1C">
        <w:rPr>
          <w:rFonts w:ascii="Times New Roman" w:hAnsi="Times New Roman" w:cs="Times New Roman"/>
          <w:color w:val="000000" w:themeColor="text1"/>
        </w:rPr>
        <w:t>.</w:t>
      </w:r>
    </w:p>
  </w:footnote>
  <w:footnote w:id="4">
    <w:p w14:paraId="5BE7B840" w14:textId="6C28A5D6" w:rsidR="005E304E" w:rsidRPr="009E7F1C" w:rsidRDefault="005E304E" w:rsidP="00D8509C">
      <w:pPr>
        <w:pStyle w:val="FootnoteText"/>
        <w:spacing w:after="120"/>
        <w:jc w:val="both"/>
        <w:rPr>
          <w:rFonts w:ascii="Times New Roman" w:hAnsi="Times New Roman" w:cs="Times New Roman"/>
        </w:rPr>
      </w:pPr>
      <w:r w:rsidRPr="009E7F1C">
        <w:rPr>
          <w:rStyle w:val="FootnoteReference"/>
          <w:rFonts w:ascii="Times New Roman" w:hAnsi="Times New Roman" w:cs="Times New Roman"/>
          <w:color w:val="000000" w:themeColor="text1"/>
        </w:rPr>
        <w:footnoteRef/>
      </w:r>
      <w:r w:rsidRPr="009E7F1C">
        <w:rPr>
          <w:rFonts w:ascii="Times New Roman" w:hAnsi="Times New Roman" w:cs="Times New Roman"/>
          <w:color w:val="000000" w:themeColor="text1"/>
        </w:rPr>
        <w:t xml:space="preserve"> </w:t>
      </w:r>
      <w:hyperlink r:id="rId3" w:history="1">
        <w:r w:rsidR="001A0037" w:rsidRPr="009E7F1C">
          <w:rPr>
            <w:rStyle w:val="Hyperlink"/>
            <w:rFonts w:ascii="Times New Roman" w:hAnsi="Times New Roman" w:cs="Times New Roman"/>
          </w:rPr>
          <w:t>EVTI 2019.</w:t>
        </w:r>
        <w:r w:rsidR="00A61159" w:rsidRPr="009E7F1C">
          <w:rPr>
            <w:rStyle w:val="Hyperlink"/>
            <w:rFonts w:ascii="Times New Roman" w:hAnsi="Times New Roman" w:cs="Times New Roman"/>
          </w:rPr>
          <w:t> </w:t>
        </w:r>
        <w:r w:rsidR="001A0037" w:rsidRPr="009E7F1C">
          <w:rPr>
            <w:rStyle w:val="Hyperlink"/>
            <w:rFonts w:ascii="Times New Roman" w:hAnsi="Times New Roman" w:cs="Times New Roman"/>
          </w:rPr>
          <w:t>gada 17.</w:t>
        </w:r>
        <w:r w:rsidR="00A61159" w:rsidRPr="009E7F1C">
          <w:rPr>
            <w:rStyle w:val="Hyperlink"/>
            <w:rFonts w:ascii="Times New Roman" w:hAnsi="Times New Roman" w:cs="Times New Roman"/>
          </w:rPr>
          <w:t> </w:t>
        </w:r>
        <w:r w:rsidR="001A0037" w:rsidRPr="009E7F1C">
          <w:rPr>
            <w:rStyle w:val="Hyperlink"/>
            <w:rFonts w:ascii="Times New Roman" w:hAnsi="Times New Roman" w:cs="Times New Roman"/>
          </w:rPr>
          <w:t>aprīļa lēmums (ES)</w:t>
        </w:r>
        <w:r w:rsidR="00A61159" w:rsidRPr="009E7F1C">
          <w:rPr>
            <w:rStyle w:val="Hyperlink"/>
            <w:rFonts w:ascii="Times New Roman" w:hAnsi="Times New Roman" w:cs="Times New Roman"/>
          </w:rPr>
          <w:t> </w:t>
        </w:r>
        <w:r w:rsidR="001A0037" w:rsidRPr="009E7F1C">
          <w:rPr>
            <w:rStyle w:val="Hyperlink"/>
            <w:rFonts w:ascii="Times New Roman" w:hAnsi="Times New Roman" w:cs="Times New Roman"/>
          </w:rPr>
          <w:t>2019/679, ar ko atjauno pagaidu ierobežojumu par cenu starpības līgumu tirdzniecību, izplatīšanu vai pārdošanu privātajiem klientiem</w:t>
        </w:r>
      </w:hyperlink>
      <w:r w:rsidR="00182AB2" w:rsidRPr="009E7F1C">
        <w:rPr>
          <w:rFonts w:ascii="Times New Roman" w:hAnsi="Times New Roman" w:cs="Times New Roman"/>
          <w:color w:val="000000" w:themeColor="text1"/>
        </w:rPr>
        <w:t>.</w:t>
      </w:r>
    </w:p>
  </w:footnote>
  <w:footnote w:id="5">
    <w:p w14:paraId="48B3F059" w14:textId="2299BA89" w:rsidR="001A0037" w:rsidRPr="00046FC6" w:rsidRDefault="001A0037" w:rsidP="009153F2">
      <w:pPr>
        <w:pStyle w:val="FootnoteText"/>
        <w:spacing w:after="120"/>
        <w:jc w:val="both"/>
        <w:rPr>
          <w:rFonts w:ascii="Times New Roman" w:hAnsi="Times New Roman" w:cs="Times New Roman"/>
        </w:rPr>
      </w:pPr>
      <w:r w:rsidRPr="009E7F1C">
        <w:rPr>
          <w:rStyle w:val="FootnoteReference"/>
          <w:rFonts w:ascii="Times New Roman" w:hAnsi="Times New Roman" w:cs="Times New Roman"/>
        </w:rPr>
        <w:footnoteRef/>
      </w:r>
      <w:r w:rsidRPr="009E7F1C">
        <w:rPr>
          <w:rFonts w:ascii="Times New Roman" w:hAnsi="Times New Roman" w:cs="Times New Roman"/>
        </w:rPr>
        <w:t xml:space="preserve"> </w:t>
      </w:r>
      <w:hyperlink r:id="rId4" w:history="1">
        <w:r w:rsidRPr="009E7F1C">
          <w:rPr>
            <w:rStyle w:val="Hyperlink"/>
            <w:rFonts w:ascii="Times New Roman" w:hAnsi="Times New Roman" w:cs="Times New Roman"/>
          </w:rPr>
          <w:t>EVTI 2018. gada 22. maija lēmums (ES)</w:t>
        </w:r>
        <w:r w:rsidR="00A61159" w:rsidRPr="009E7F1C">
          <w:rPr>
            <w:rStyle w:val="Hyperlink"/>
            <w:rFonts w:ascii="Times New Roman" w:hAnsi="Times New Roman" w:cs="Times New Roman"/>
          </w:rPr>
          <w:t> </w:t>
        </w:r>
        <w:r w:rsidRPr="009E7F1C">
          <w:rPr>
            <w:rStyle w:val="Hyperlink"/>
            <w:rFonts w:ascii="Times New Roman" w:hAnsi="Times New Roman" w:cs="Times New Roman"/>
          </w:rPr>
          <w:t>2018/795 uz laiku aizliegt bināro opciju tirdzniecību, izplatīšanu un pārdošanu privātajiem klientiem Savienībā saskaņā ar Eiropas Parlamenta un Padomes regulas (ES)</w:t>
        </w:r>
        <w:r w:rsidR="00A61159" w:rsidRPr="009E7F1C">
          <w:rPr>
            <w:rStyle w:val="Hyperlink"/>
            <w:rFonts w:ascii="Times New Roman" w:hAnsi="Times New Roman" w:cs="Times New Roman"/>
          </w:rPr>
          <w:t xml:space="preserve"> </w:t>
        </w:r>
        <w:r w:rsidRPr="009E7F1C">
          <w:rPr>
            <w:rStyle w:val="Hyperlink"/>
            <w:rFonts w:ascii="Times New Roman" w:hAnsi="Times New Roman" w:cs="Times New Roman"/>
          </w:rPr>
          <w:t>Nr. 600/2014 40. pantu</w:t>
        </w:r>
      </w:hyperlink>
      <w:r w:rsidR="00182AB2" w:rsidRPr="009E7F1C">
        <w:rPr>
          <w:rFonts w:ascii="Times New Roman" w:hAnsi="Times New Roman" w:cs="Times New Roman"/>
        </w:rPr>
        <w:t>.</w:t>
      </w:r>
    </w:p>
  </w:footnote>
  <w:footnote w:id="6">
    <w:p w14:paraId="08816247" w14:textId="548AF493" w:rsidR="009153F2" w:rsidRPr="009E7F1C" w:rsidRDefault="009153F2" w:rsidP="009153F2">
      <w:pPr>
        <w:pStyle w:val="FootnoteText"/>
        <w:spacing w:after="120"/>
        <w:jc w:val="both"/>
        <w:rPr>
          <w:rFonts w:ascii="Times New Roman" w:hAnsi="Times New Roman" w:cs="Times New Roman"/>
        </w:rPr>
      </w:pPr>
      <w:r w:rsidRPr="009E7F1C">
        <w:rPr>
          <w:rStyle w:val="FootnoteReference"/>
          <w:rFonts w:ascii="Times New Roman" w:hAnsi="Times New Roman" w:cs="Times New Roman"/>
        </w:rPr>
        <w:footnoteRef/>
      </w:r>
      <w:r w:rsidRPr="009E7F1C">
        <w:rPr>
          <w:rFonts w:ascii="Times New Roman" w:hAnsi="Times New Roman" w:cs="Times New Roman"/>
        </w:rPr>
        <w:t xml:space="preserve"> </w:t>
      </w:r>
      <w:hyperlink r:id="rId5" w:history="1">
        <w:r w:rsidRPr="009E7F1C">
          <w:rPr>
            <w:rStyle w:val="Hyperlink"/>
            <w:rFonts w:ascii="Times New Roman" w:hAnsi="Times New Roman" w:cs="Times New Roman"/>
          </w:rPr>
          <w:t xml:space="preserve">EVTI 2018. gada 21. septembra lēmums (ES) 2018/1466 par pagaidu aizlieguma atjaunošanu un grozīšanu attiecībā uz </w:t>
        </w:r>
        <w:r w:rsidR="00D02A5A" w:rsidRPr="009E7F1C">
          <w:rPr>
            <w:rStyle w:val="Hyperlink"/>
            <w:rFonts w:ascii="Times New Roman" w:hAnsi="Times New Roman" w:cs="Times New Roman"/>
          </w:rPr>
          <w:t>l</w:t>
        </w:r>
        <w:r w:rsidRPr="009E7F1C">
          <w:rPr>
            <w:rStyle w:val="Hyperlink"/>
            <w:rFonts w:ascii="Times New Roman" w:hAnsi="Times New Roman" w:cs="Times New Roman"/>
          </w:rPr>
          <w:t>ēmumu (ES)</w:t>
        </w:r>
        <w:r w:rsidR="00A61159" w:rsidRPr="009E7F1C">
          <w:rPr>
            <w:rStyle w:val="Hyperlink"/>
            <w:rFonts w:ascii="Times New Roman" w:hAnsi="Times New Roman" w:cs="Times New Roman"/>
          </w:rPr>
          <w:t> </w:t>
        </w:r>
        <w:r w:rsidRPr="009E7F1C">
          <w:rPr>
            <w:rStyle w:val="Hyperlink"/>
            <w:rFonts w:ascii="Times New Roman" w:hAnsi="Times New Roman" w:cs="Times New Roman"/>
          </w:rPr>
          <w:t>2018/795 par bināro opciju tirdzniecību, izplatīšanu vai pārdošanu privātajiem klientiem</w:t>
        </w:r>
      </w:hyperlink>
      <w:r w:rsidR="00182AB2" w:rsidRPr="009E7F1C">
        <w:rPr>
          <w:rFonts w:ascii="Times New Roman" w:hAnsi="Times New Roman" w:cs="Times New Roman"/>
        </w:rPr>
        <w:t>.</w:t>
      </w:r>
    </w:p>
  </w:footnote>
  <w:footnote w:id="7">
    <w:p w14:paraId="18AE8755" w14:textId="24C812A3" w:rsidR="009153F2" w:rsidRPr="009E7F1C" w:rsidRDefault="009153F2" w:rsidP="00C82C1F">
      <w:pPr>
        <w:pStyle w:val="FootnoteText"/>
        <w:spacing w:after="120"/>
        <w:jc w:val="both"/>
        <w:rPr>
          <w:rFonts w:ascii="Times New Roman" w:hAnsi="Times New Roman" w:cs="Times New Roman"/>
        </w:rPr>
      </w:pPr>
      <w:r w:rsidRPr="009E7F1C">
        <w:rPr>
          <w:rStyle w:val="FootnoteReference"/>
          <w:rFonts w:ascii="Times New Roman" w:hAnsi="Times New Roman" w:cs="Times New Roman"/>
        </w:rPr>
        <w:footnoteRef/>
      </w:r>
      <w:r w:rsidRPr="009E7F1C">
        <w:rPr>
          <w:rFonts w:ascii="Times New Roman" w:hAnsi="Times New Roman" w:cs="Times New Roman"/>
        </w:rPr>
        <w:t xml:space="preserve"> </w:t>
      </w:r>
      <w:hyperlink r:id="rId6" w:history="1">
        <w:r w:rsidR="004913B1" w:rsidRPr="009E7F1C">
          <w:rPr>
            <w:rStyle w:val="Hyperlink"/>
            <w:rFonts w:ascii="Times New Roman" w:hAnsi="Times New Roman" w:cs="Times New Roman"/>
          </w:rPr>
          <w:t>EVTI 2018. gada 14. decembra lēmums (ES) 2018/2064, ar ko atjauno pagaidu aizliegumu par bināro opciju tirdzniecību, izplatīšanu vai pārdošanu privātiem klientiem</w:t>
        </w:r>
      </w:hyperlink>
      <w:r w:rsidR="00182AB2" w:rsidRPr="009E7F1C">
        <w:rPr>
          <w:rFonts w:ascii="Times New Roman" w:hAnsi="Times New Roman" w:cs="Times New Roman"/>
        </w:rPr>
        <w:t>.</w:t>
      </w:r>
    </w:p>
  </w:footnote>
  <w:footnote w:id="8">
    <w:p w14:paraId="26D04778" w14:textId="287960C8" w:rsidR="00C82C1F" w:rsidRPr="00046FC6" w:rsidRDefault="00C82C1F" w:rsidP="00C82C1F">
      <w:pPr>
        <w:pStyle w:val="FootnoteText"/>
        <w:spacing w:after="120"/>
        <w:jc w:val="both"/>
        <w:rPr>
          <w:rFonts w:ascii="Times New Roman" w:hAnsi="Times New Roman" w:cs="Times New Roman"/>
        </w:rPr>
      </w:pPr>
      <w:r w:rsidRPr="009E7F1C">
        <w:rPr>
          <w:rStyle w:val="FootnoteReference"/>
          <w:rFonts w:ascii="Times New Roman" w:hAnsi="Times New Roman" w:cs="Times New Roman"/>
        </w:rPr>
        <w:footnoteRef/>
      </w:r>
      <w:r w:rsidRPr="009E7F1C">
        <w:rPr>
          <w:rFonts w:ascii="Times New Roman" w:hAnsi="Times New Roman" w:cs="Times New Roman"/>
        </w:rPr>
        <w:t xml:space="preserve"> </w:t>
      </w:r>
      <w:hyperlink r:id="rId7" w:history="1">
        <w:r w:rsidR="008364B7" w:rsidRPr="009E7F1C">
          <w:rPr>
            <w:rStyle w:val="Hyperlink"/>
            <w:rFonts w:ascii="Times New Roman" w:hAnsi="Times New Roman" w:cs="Times New Roman"/>
          </w:rPr>
          <w:t>EVTI 2019. gada 22. marta lēmums (ES)</w:t>
        </w:r>
        <w:r w:rsidR="00A61159" w:rsidRPr="009E7F1C">
          <w:rPr>
            <w:rStyle w:val="Hyperlink"/>
            <w:rFonts w:ascii="Times New Roman" w:hAnsi="Times New Roman" w:cs="Times New Roman"/>
          </w:rPr>
          <w:t> </w:t>
        </w:r>
        <w:r w:rsidR="008364B7" w:rsidRPr="009E7F1C">
          <w:rPr>
            <w:rStyle w:val="Hyperlink"/>
            <w:rFonts w:ascii="Times New Roman" w:hAnsi="Times New Roman" w:cs="Times New Roman"/>
          </w:rPr>
          <w:t>2019/509, ar ko atjauno pagaidu aizliegumu par bināro opciju tirdzniecību, izplatīšanu vai pārdošanu privātiem klientiem</w:t>
        </w:r>
      </w:hyperlink>
      <w:r w:rsidR="00182AB2" w:rsidRPr="009E7F1C">
        <w:rPr>
          <w:rFonts w:ascii="Times New Roman" w:hAnsi="Times New Roman" w:cs="Times New Roman"/>
        </w:rPr>
        <w:t>.</w:t>
      </w:r>
    </w:p>
  </w:footnote>
  <w:footnote w:id="9">
    <w:p w14:paraId="301B5E21" w14:textId="7A6D965C" w:rsidR="00D60794" w:rsidRPr="003C38E7" w:rsidRDefault="00D60794" w:rsidP="00D8509C">
      <w:pPr>
        <w:pStyle w:val="FootnoteText"/>
        <w:spacing w:after="120"/>
        <w:jc w:val="both"/>
        <w:rPr>
          <w:rStyle w:val="Hyperlink"/>
          <w:rFonts w:ascii="Times New Roman" w:hAnsi="Times New Roman" w:cs="Times New Roman"/>
          <w:sz w:val="22"/>
          <w:szCs w:val="22"/>
        </w:rPr>
      </w:pPr>
      <w:r w:rsidRPr="003C38E7">
        <w:rPr>
          <w:rStyle w:val="FootnoteReference"/>
          <w:rFonts w:ascii="Times New Roman" w:hAnsi="Times New Roman" w:cs="Times New Roman"/>
        </w:rPr>
        <w:footnoteRef/>
      </w:r>
      <w:r w:rsidR="00C8521D" w:rsidRPr="003C38E7">
        <w:rPr>
          <w:rStyle w:val="Hyperlink"/>
          <w:rFonts w:ascii="Times New Roman" w:hAnsi="Times New Roman" w:cs="Times New Roman"/>
          <w:u w:val="none"/>
        </w:rPr>
        <w:t xml:space="preserve"> </w:t>
      </w:r>
      <w:r w:rsidRPr="003C38E7">
        <w:rPr>
          <w:rFonts w:ascii="Times New Roman" w:hAnsi="Times New Roman" w:cs="Times New Roman"/>
        </w:rPr>
        <w:t xml:space="preserve">Skat. </w:t>
      </w:r>
      <w:hyperlink r:id="rId8" w:history="1">
        <w:r w:rsidRPr="003C38E7">
          <w:rPr>
            <w:rStyle w:val="Hyperlink"/>
            <w:rFonts w:ascii="Times New Roman" w:hAnsi="Times New Roman" w:cs="Times New Roman"/>
          </w:rPr>
          <w:t>EVTI 20</w:t>
        </w:r>
        <w:r w:rsidR="000D1F03">
          <w:rPr>
            <w:rStyle w:val="Hyperlink"/>
            <w:rFonts w:ascii="Times New Roman" w:hAnsi="Times New Roman" w:cs="Times New Roman"/>
          </w:rPr>
          <w:t>1</w:t>
        </w:r>
        <w:r w:rsidRPr="003C38E7">
          <w:rPr>
            <w:rStyle w:val="Hyperlink"/>
            <w:rFonts w:ascii="Times New Roman" w:hAnsi="Times New Roman" w:cs="Times New Roman"/>
          </w:rPr>
          <w:t xml:space="preserve">9. gada 26. marta </w:t>
        </w:r>
        <w:r w:rsidR="00732259" w:rsidRPr="003C38E7">
          <w:rPr>
            <w:rStyle w:val="Hyperlink"/>
            <w:rFonts w:ascii="Times New Roman" w:hAnsi="Times New Roman" w:cs="Times New Roman"/>
          </w:rPr>
          <w:t>viedokļa par produktu intervences pasākumiem attiecībā uz līgumiem par starpību, kurus ierosināja Nīderlandes Finanšu tirgus iestāde</w:t>
        </w:r>
      </w:hyperlink>
      <w:r w:rsidR="000447F2">
        <w:rPr>
          <w:rFonts w:ascii="Times New Roman" w:hAnsi="Times New Roman" w:cs="Times New Roman"/>
        </w:rPr>
        <w:t>,</w:t>
      </w:r>
      <w:r w:rsidRPr="003C38E7">
        <w:rPr>
          <w:rFonts w:ascii="Times New Roman" w:hAnsi="Times New Roman" w:cs="Times New Roman"/>
        </w:rPr>
        <w:t xml:space="preserve">17. punkta </w:t>
      </w:r>
      <w:r w:rsidR="00732259" w:rsidRPr="003C38E7">
        <w:rPr>
          <w:rFonts w:ascii="Times New Roman" w:hAnsi="Times New Roman" w:cs="Times New Roman"/>
        </w:rPr>
        <w:t>"b" </w:t>
      </w:r>
      <w:r w:rsidRPr="003C38E7">
        <w:rPr>
          <w:rFonts w:ascii="Times New Roman" w:hAnsi="Times New Roman" w:cs="Times New Roman"/>
        </w:rPr>
        <w:t>apakšpunkt</w:t>
      </w:r>
      <w:r w:rsidR="00732259" w:rsidRPr="003C38E7">
        <w:rPr>
          <w:rFonts w:ascii="Times New Roman" w:hAnsi="Times New Roman" w:cs="Times New Roman"/>
        </w:rPr>
        <w:t>u</w:t>
      </w:r>
      <w:r w:rsidR="00182AB2" w:rsidRPr="003C38E7">
        <w:rPr>
          <w:rFonts w:ascii="Times New Roman" w:hAnsi="Times New Roman" w:cs="Times New Roman"/>
        </w:rPr>
        <w:t>.</w:t>
      </w:r>
    </w:p>
  </w:footnote>
  <w:footnote w:id="10">
    <w:p w14:paraId="0ACA6485" w14:textId="065D7FC1" w:rsidR="0039734C" w:rsidRPr="00046FC6" w:rsidRDefault="0039734C" w:rsidP="00976D99">
      <w:pPr>
        <w:jc w:val="both"/>
        <w:rPr>
          <w:rFonts w:ascii="Times New Roman" w:hAnsi="Times New Roman" w:cs="Times New Roman"/>
          <w:sz w:val="20"/>
          <w:szCs w:val="20"/>
        </w:rPr>
      </w:pPr>
      <w:r w:rsidRPr="00046FC6">
        <w:rPr>
          <w:rStyle w:val="FootnoteReference"/>
          <w:rFonts w:ascii="Times New Roman" w:hAnsi="Times New Roman" w:cs="Times New Roman"/>
          <w:sz w:val="20"/>
          <w:szCs w:val="20"/>
        </w:rPr>
        <w:footnoteRef/>
      </w:r>
      <w:r w:rsidRPr="00046FC6">
        <w:rPr>
          <w:rStyle w:val="FootnoteReference"/>
          <w:rFonts w:ascii="Times New Roman" w:hAnsi="Times New Roman" w:cs="Times New Roman"/>
          <w:sz w:val="20"/>
          <w:szCs w:val="20"/>
        </w:rPr>
        <w:t xml:space="preserve"> </w:t>
      </w:r>
      <w:hyperlink r:id="rId9" w:history="1">
        <w:hyperlink r:id="rId10" w:history="1">
          <w:r w:rsidR="007F1670" w:rsidRPr="00046FC6">
            <w:rPr>
              <w:rStyle w:val="Hyperlink"/>
              <w:rFonts w:ascii="Times New Roman" w:hAnsi="Times New Roman" w:cs="Times New Roman"/>
              <w:sz w:val="20"/>
              <w:szCs w:val="20"/>
            </w:rPr>
            <w:t>EVTI 2018. gada 22. maija lēmum</w:t>
          </w:r>
          <w:r w:rsidR="00976D99" w:rsidRPr="00046FC6">
            <w:rPr>
              <w:rStyle w:val="Hyperlink"/>
              <w:rFonts w:ascii="Times New Roman" w:hAnsi="Times New Roman" w:cs="Times New Roman"/>
              <w:sz w:val="20"/>
              <w:szCs w:val="20"/>
            </w:rPr>
            <w:t>a</w:t>
          </w:r>
          <w:r w:rsidR="007F1670" w:rsidRPr="00046FC6">
            <w:rPr>
              <w:rStyle w:val="Hyperlink"/>
              <w:rFonts w:ascii="Times New Roman" w:hAnsi="Times New Roman" w:cs="Times New Roman"/>
              <w:sz w:val="20"/>
              <w:szCs w:val="20"/>
            </w:rPr>
            <w:t xml:space="preserve"> (ES) 2018/796 par cenu starpību līgumu pagaidu ierobežošanu Savienībā saskaņā ar Eiropas Parlamenta un Padomes regulas (ES) Nr. 600/2014 40. pantu</w:t>
          </w:r>
        </w:hyperlink>
        <w:r w:rsidR="00EB60A0" w:rsidRPr="00046FC6">
          <w:rPr>
            <w:rStyle w:val="Hyperlink"/>
            <w:rFonts w:ascii="Times New Roman" w:hAnsi="Times New Roman" w:cs="Times New Roman"/>
            <w:sz w:val="20"/>
            <w:szCs w:val="20"/>
          </w:rPr>
          <w:t xml:space="preserve"> 35.</w:t>
        </w:r>
        <w:r w:rsidR="00976D99" w:rsidRPr="00046FC6">
          <w:rPr>
            <w:rStyle w:val="Hyperlink"/>
            <w:rFonts w:ascii="Times New Roman" w:hAnsi="Times New Roman" w:cs="Times New Roman"/>
            <w:sz w:val="20"/>
            <w:szCs w:val="20"/>
          </w:rPr>
          <w:t> </w:t>
        </w:r>
        <w:r w:rsidR="00EB60A0" w:rsidRPr="00046FC6">
          <w:rPr>
            <w:rStyle w:val="Hyperlink"/>
            <w:rFonts w:ascii="Times New Roman" w:hAnsi="Times New Roman" w:cs="Times New Roman"/>
            <w:sz w:val="20"/>
            <w:szCs w:val="20"/>
          </w:rPr>
          <w:t>apsvērums</w:t>
        </w:r>
        <w:r w:rsidR="000D2C95" w:rsidRPr="00046FC6">
          <w:rPr>
            <w:rStyle w:val="Hyperlink"/>
            <w:rFonts w:ascii="Times New Roman" w:hAnsi="Times New Roman" w:cs="Times New Roman"/>
            <w:color w:val="auto"/>
            <w:sz w:val="20"/>
            <w:szCs w:val="20"/>
            <w:u w:val="none"/>
          </w:rPr>
          <w:t>.</w:t>
        </w:r>
      </w:hyperlink>
    </w:p>
  </w:footnote>
  <w:footnote w:id="11">
    <w:p w14:paraId="539E5F26" w14:textId="5209A025" w:rsidR="00DD1B2D" w:rsidRPr="00046FC6" w:rsidRDefault="00DD1B2D" w:rsidP="00DD1B2D">
      <w:pPr>
        <w:pStyle w:val="FootnoteText"/>
        <w:jc w:val="both"/>
        <w:rPr>
          <w:rFonts w:ascii="Times New Roman" w:hAnsi="Times New Roman" w:cs="Times New Roman"/>
        </w:rPr>
      </w:pPr>
      <w:r w:rsidRPr="00046FC6">
        <w:rPr>
          <w:rStyle w:val="FootnoteReference"/>
          <w:rFonts w:ascii="Times New Roman" w:hAnsi="Times New Roman" w:cs="Times New Roman"/>
        </w:rPr>
        <w:footnoteRef/>
      </w:r>
      <w:r w:rsidRPr="00046FC6">
        <w:rPr>
          <w:rFonts w:ascii="Times New Roman" w:hAnsi="Times New Roman" w:cs="Times New Roman"/>
        </w:rPr>
        <w:t xml:space="preserve"> Pēc EVTI tīmekļvietnē pieejamās informācijas</w:t>
      </w:r>
      <w:r w:rsidR="000447F2">
        <w:rPr>
          <w:rFonts w:ascii="Times New Roman" w:hAnsi="Times New Roman" w:cs="Times New Roman"/>
        </w:rPr>
        <w:t>,</w:t>
      </w:r>
      <w:r w:rsidRPr="00046FC6">
        <w:rPr>
          <w:rFonts w:ascii="Times New Roman" w:hAnsi="Times New Roman" w:cs="Times New Roman"/>
        </w:rPr>
        <w:t xml:space="preserve"> tikai Beļģijā, Rumānijā un Slovākijā līdz šim nav noteikti līdzīgi ierobežojumi.</w:t>
      </w:r>
    </w:p>
  </w:footnote>
  <w:footnote w:id="12">
    <w:p w14:paraId="33D4852B" w14:textId="2C4DE9E1" w:rsidR="00B07C82" w:rsidRPr="00C079FF" w:rsidRDefault="00B07C82" w:rsidP="0057452A">
      <w:pPr>
        <w:pStyle w:val="FootnoteText"/>
        <w:spacing w:after="120"/>
        <w:jc w:val="both"/>
        <w:rPr>
          <w:rFonts w:ascii="Times New Roman" w:hAnsi="Times New Roman" w:cs="Times New Roman"/>
        </w:rPr>
      </w:pPr>
      <w:r w:rsidRPr="00C079FF">
        <w:rPr>
          <w:rStyle w:val="FootnoteReference"/>
          <w:rFonts w:ascii="Times New Roman" w:hAnsi="Times New Roman" w:cs="Times New Roman"/>
        </w:rPr>
        <w:footnoteRef/>
      </w:r>
      <w:r w:rsidRPr="00C079FF">
        <w:rPr>
          <w:rFonts w:ascii="Times New Roman" w:hAnsi="Times New Roman" w:cs="Times New Roman"/>
        </w:rPr>
        <w:t xml:space="preserve"> </w:t>
      </w:r>
      <w:hyperlink r:id="rId11" w:history="1">
        <w:r w:rsidRPr="00C079FF">
          <w:rPr>
            <w:rStyle w:val="Hyperlink"/>
            <w:rFonts w:ascii="Times New Roman" w:hAnsi="Times New Roman" w:cs="Times New Roman"/>
          </w:rPr>
          <w:t>EVTI 2018. gada 22. maija lēmums (ES)</w:t>
        </w:r>
        <w:r w:rsidR="00A61159">
          <w:rPr>
            <w:rStyle w:val="Hyperlink"/>
            <w:rFonts w:ascii="Times New Roman" w:hAnsi="Times New Roman" w:cs="Times New Roman"/>
          </w:rPr>
          <w:t> </w:t>
        </w:r>
        <w:r w:rsidRPr="00C079FF">
          <w:rPr>
            <w:rStyle w:val="Hyperlink"/>
            <w:rFonts w:ascii="Times New Roman" w:hAnsi="Times New Roman" w:cs="Times New Roman"/>
          </w:rPr>
          <w:t>2018/795 uz laiku aizliegt bināro opciju tirdzniecību, izplatīšanu un pārdošanu privātajiem klientiem Savienībā saskaņā ar Eiropas Parlamenta un Padomes regulas (ES) Nr. 600/2014 40. pantu</w:t>
        </w:r>
      </w:hyperlink>
      <w:r w:rsidRPr="00C079FF">
        <w:rPr>
          <w:rFonts w:ascii="Times New Roman" w:hAnsi="Times New Roman" w:cs="Times New Roman"/>
        </w:rPr>
        <w:t>.</w:t>
      </w:r>
    </w:p>
  </w:footnote>
  <w:footnote w:id="13">
    <w:p w14:paraId="7B058381" w14:textId="05EAA9CD" w:rsidR="00B07C82" w:rsidRPr="00C079FF" w:rsidRDefault="00B07C82" w:rsidP="0057452A">
      <w:pPr>
        <w:pStyle w:val="FootnoteText"/>
        <w:spacing w:after="120"/>
        <w:jc w:val="both"/>
        <w:rPr>
          <w:rFonts w:ascii="Times New Roman" w:hAnsi="Times New Roman" w:cs="Times New Roman"/>
        </w:rPr>
      </w:pPr>
      <w:r w:rsidRPr="00C079FF">
        <w:rPr>
          <w:rStyle w:val="FootnoteReference"/>
          <w:rFonts w:ascii="Times New Roman" w:hAnsi="Times New Roman" w:cs="Times New Roman"/>
        </w:rPr>
        <w:footnoteRef/>
      </w:r>
      <w:r w:rsidRPr="00C079FF">
        <w:rPr>
          <w:rFonts w:ascii="Times New Roman" w:hAnsi="Times New Roman" w:cs="Times New Roman"/>
        </w:rPr>
        <w:t xml:space="preserve"> </w:t>
      </w:r>
      <w:hyperlink r:id="rId12" w:history="1">
        <w:r w:rsidRPr="00C079FF">
          <w:rPr>
            <w:rStyle w:val="Hyperlink"/>
            <w:rFonts w:ascii="Times New Roman" w:hAnsi="Times New Roman" w:cs="Times New Roman"/>
          </w:rPr>
          <w:t>EVTI 2018. gada 21. septembra lēmums (ES) 2018/1466 par pagaidu aizlieguma atjaunošanu un grozīšanu attiecībā uz lēmumu (ES)</w:t>
        </w:r>
        <w:r w:rsidR="00A61159">
          <w:rPr>
            <w:rStyle w:val="Hyperlink"/>
            <w:rFonts w:ascii="Times New Roman" w:hAnsi="Times New Roman" w:cs="Times New Roman"/>
          </w:rPr>
          <w:t> </w:t>
        </w:r>
        <w:r w:rsidRPr="00C079FF">
          <w:rPr>
            <w:rStyle w:val="Hyperlink"/>
            <w:rFonts w:ascii="Times New Roman" w:hAnsi="Times New Roman" w:cs="Times New Roman"/>
          </w:rPr>
          <w:t>2018/795 par bināro opciju tirdzniecību, izplatīšanu vai pārdošanu privātajiem klientiem</w:t>
        </w:r>
      </w:hyperlink>
      <w:r w:rsidRPr="00C079FF">
        <w:rPr>
          <w:rFonts w:ascii="Times New Roman" w:hAnsi="Times New Roman" w:cs="Times New Roman"/>
        </w:rPr>
        <w:t>.</w:t>
      </w:r>
    </w:p>
  </w:footnote>
  <w:footnote w:id="14">
    <w:p w14:paraId="1D92F79B" w14:textId="77777777" w:rsidR="00B07C82" w:rsidRPr="00C079FF" w:rsidRDefault="00B07C82" w:rsidP="0057452A">
      <w:pPr>
        <w:pStyle w:val="FootnoteText"/>
        <w:spacing w:after="120"/>
        <w:jc w:val="both"/>
        <w:rPr>
          <w:rFonts w:ascii="Times New Roman" w:hAnsi="Times New Roman" w:cs="Times New Roman"/>
        </w:rPr>
      </w:pPr>
      <w:r w:rsidRPr="00C079FF">
        <w:rPr>
          <w:rStyle w:val="FootnoteReference"/>
          <w:rFonts w:ascii="Times New Roman" w:hAnsi="Times New Roman" w:cs="Times New Roman"/>
        </w:rPr>
        <w:footnoteRef/>
      </w:r>
      <w:r w:rsidRPr="00C079FF">
        <w:rPr>
          <w:rFonts w:ascii="Times New Roman" w:hAnsi="Times New Roman" w:cs="Times New Roman"/>
        </w:rPr>
        <w:t xml:space="preserve"> </w:t>
      </w:r>
      <w:hyperlink r:id="rId13" w:history="1">
        <w:r w:rsidRPr="00C079FF">
          <w:rPr>
            <w:rStyle w:val="Hyperlink"/>
            <w:rFonts w:ascii="Times New Roman" w:hAnsi="Times New Roman" w:cs="Times New Roman"/>
          </w:rPr>
          <w:t>EVTI 2018. gada 14. decembra lēmums (ES) 2018/2064, ar ko atjauno pagaidu aizliegumu par bināro opciju tirdzniecību, izplatīšanu vai pārdošanu privātiem klientiem</w:t>
        </w:r>
      </w:hyperlink>
      <w:r w:rsidRPr="00C079FF">
        <w:rPr>
          <w:rFonts w:ascii="Times New Roman" w:hAnsi="Times New Roman" w:cs="Times New Roman"/>
        </w:rPr>
        <w:t>.</w:t>
      </w:r>
    </w:p>
  </w:footnote>
  <w:footnote w:id="15">
    <w:p w14:paraId="2A31C602" w14:textId="65E876F1" w:rsidR="00B07C82" w:rsidRPr="00C079FF" w:rsidRDefault="00B07C82" w:rsidP="0057452A">
      <w:pPr>
        <w:pStyle w:val="FootnoteText"/>
        <w:spacing w:after="120"/>
        <w:jc w:val="both"/>
        <w:rPr>
          <w:rFonts w:ascii="Times New Roman" w:hAnsi="Times New Roman" w:cs="Times New Roman"/>
        </w:rPr>
      </w:pPr>
      <w:r w:rsidRPr="00C079FF">
        <w:rPr>
          <w:rStyle w:val="FootnoteReference"/>
          <w:rFonts w:ascii="Times New Roman" w:hAnsi="Times New Roman" w:cs="Times New Roman"/>
        </w:rPr>
        <w:footnoteRef/>
      </w:r>
      <w:r w:rsidRPr="00C079FF">
        <w:rPr>
          <w:rFonts w:ascii="Times New Roman" w:hAnsi="Times New Roman" w:cs="Times New Roman"/>
        </w:rPr>
        <w:t xml:space="preserve"> </w:t>
      </w:r>
      <w:hyperlink r:id="rId14" w:history="1">
        <w:r w:rsidRPr="00C079FF">
          <w:rPr>
            <w:rStyle w:val="Hyperlink"/>
            <w:rFonts w:ascii="Times New Roman" w:hAnsi="Times New Roman" w:cs="Times New Roman"/>
          </w:rPr>
          <w:t>EVTI 2019. gada 22. marta lēmums (ES)</w:t>
        </w:r>
        <w:r w:rsidR="00A61159">
          <w:rPr>
            <w:rStyle w:val="Hyperlink"/>
            <w:rFonts w:ascii="Times New Roman" w:hAnsi="Times New Roman" w:cs="Times New Roman"/>
          </w:rPr>
          <w:t> </w:t>
        </w:r>
        <w:r w:rsidRPr="00C079FF">
          <w:rPr>
            <w:rStyle w:val="Hyperlink"/>
            <w:rFonts w:ascii="Times New Roman" w:hAnsi="Times New Roman" w:cs="Times New Roman"/>
          </w:rPr>
          <w:t>2019/509, ar ko atjauno pagaidu aizliegumu par bināro opciju tirdzniecību, izplatīšanu vai pārdošanu privātiem klientiem</w:t>
        </w:r>
      </w:hyperlink>
      <w:r w:rsidRPr="00C079FF">
        <w:rPr>
          <w:rFonts w:ascii="Times New Roman" w:hAnsi="Times New Roman" w:cs="Times New Roman"/>
        </w:rPr>
        <w:t>.</w:t>
      </w:r>
    </w:p>
  </w:footnote>
  <w:footnote w:id="16">
    <w:p w14:paraId="52860641" w14:textId="724985C3" w:rsidR="00B07C82" w:rsidRPr="00A80B30" w:rsidRDefault="00B07C82" w:rsidP="0057452A">
      <w:pPr>
        <w:pStyle w:val="FootnoteText"/>
        <w:spacing w:after="120"/>
        <w:jc w:val="both"/>
      </w:pPr>
      <w:r w:rsidRPr="00C079FF">
        <w:rPr>
          <w:rStyle w:val="FootnoteReference"/>
          <w:rFonts w:ascii="Times New Roman" w:hAnsi="Times New Roman" w:cs="Times New Roman"/>
        </w:rPr>
        <w:footnoteRef/>
      </w:r>
      <w:r w:rsidRPr="00C079FF">
        <w:rPr>
          <w:rFonts w:ascii="Times New Roman" w:hAnsi="Times New Roman" w:cs="Times New Roman"/>
        </w:rPr>
        <w:t xml:space="preserve"> </w:t>
      </w:r>
      <w:bookmarkStart w:id="8" w:name="_Hlk174958443"/>
      <w:r w:rsidRPr="007652DA">
        <w:rPr>
          <w:rFonts w:ascii="Times New Roman" w:hAnsi="Times New Roman" w:cs="Times New Roman"/>
        </w:rPr>
        <w:t>EVTI 2018.</w:t>
      </w:r>
      <w:r w:rsidR="00220999">
        <w:rPr>
          <w:rFonts w:ascii="Times New Roman" w:hAnsi="Times New Roman" w:cs="Times New Roman"/>
        </w:rPr>
        <w:t> </w:t>
      </w:r>
      <w:r w:rsidRPr="007652DA">
        <w:rPr>
          <w:rFonts w:ascii="Times New Roman" w:hAnsi="Times New Roman" w:cs="Times New Roman"/>
        </w:rPr>
        <w:t>gada 1.</w:t>
      </w:r>
      <w:r w:rsidR="00220999">
        <w:rPr>
          <w:rFonts w:ascii="Times New Roman" w:hAnsi="Times New Roman" w:cs="Times New Roman"/>
        </w:rPr>
        <w:t> </w:t>
      </w:r>
      <w:r w:rsidRPr="007652DA">
        <w:rPr>
          <w:rFonts w:ascii="Times New Roman" w:hAnsi="Times New Roman" w:cs="Times New Roman"/>
        </w:rPr>
        <w:t xml:space="preserve">jūnija </w:t>
      </w:r>
      <w:r w:rsidR="007652DA">
        <w:rPr>
          <w:rFonts w:ascii="Times New Roman" w:hAnsi="Times New Roman" w:cs="Times New Roman"/>
        </w:rPr>
        <w:t>dokuments Nr. </w:t>
      </w:r>
      <w:r w:rsidR="007652DA" w:rsidRPr="007652DA">
        <w:rPr>
          <w:rFonts w:ascii="Times New Roman" w:hAnsi="Times New Roman" w:cs="Times New Roman"/>
        </w:rPr>
        <w:t>ESMA50-162-214 "</w:t>
      </w:r>
      <w:r w:rsidRPr="007652DA">
        <w:rPr>
          <w:rFonts w:ascii="Times New Roman" w:hAnsi="Times New Roman" w:cs="Times New Roman"/>
        </w:rPr>
        <w:t>Produktu intervences analīze</w:t>
      </w:r>
      <w:r w:rsidR="00220999">
        <w:rPr>
          <w:rFonts w:ascii="Times New Roman" w:hAnsi="Times New Roman" w:cs="Times New Roman"/>
        </w:rPr>
        <w:t> </w:t>
      </w:r>
      <w:r w:rsidRPr="007652DA">
        <w:rPr>
          <w:rFonts w:ascii="Times New Roman" w:hAnsi="Times New Roman" w:cs="Times New Roman"/>
        </w:rPr>
        <w:t xml:space="preserve">– </w:t>
      </w:r>
      <w:r w:rsidR="007652DA">
        <w:rPr>
          <w:rFonts w:ascii="Times New Roman" w:hAnsi="Times New Roman" w:cs="Times New Roman"/>
        </w:rPr>
        <w:t xml:space="preserve">pasākumi </w:t>
      </w:r>
      <w:r w:rsidRPr="007652DA">
        <w:rPr>
          <w:rFonts w:ascii="Times New Roman" w:hAnsi="Times New Roman" w:cs="Times New Roman"/>
        </w:rPr>
        <w:t>attiecībā uz binār</w:t>
      </w:r>
      <w:r w:rsidR="007652DA">
        <w:rPr>
          <w:rFonts w:ascii="Times New Roman" w:hAnsi="Times New Roman" w:cs="Times New Roman"/>
        </w:rPr>
        <w:t xml:space="preserve">o </w:t>
      </w:r>
      <w:r w:rsidRPr="007652DA">
        <w:rPr>
          <w:rFonts w:ascii="Times New Roman" w:hAnsi="Times New Roman" w:cs="Times New Roman"/>
        </w:rPr>
        <w:t>iespēju līgumiem</w:t>
      </w:r>
      <w:r w:rsidR="007652DA">
        <w:rPr>
          <w:rFonts w:ascii="Times New Roman" w:hAnsi="Times New Roman" w:cs="Times New Roman"/>
        </w:rPr>
        <w:t>"</w:t>
      </w:r>
      <w:bookmarkEnd w:id="8"/>
      <w:r w:rsidRPr="00C079FF">
        <w:rPr>
          <w:rFonts w:ascii="Times New Roman" w:hAnsi="Times New Roman" w:cs="Times New Roman"/>
        </w:rPr>
        <w:t>.</w:t>
      </w:r>
    </w:p>
  </w:footnote>
  <w:footnote w:id="17">
    <w:p w14:paraId="7AAAC90C" w14:textId="3FD065FF" w:rsidR="00B07C82" w:rsidRPr="00B07C82" w:rsidRDefault="00B07C82" w:rsidP="00C079FF">
      <w:pPr>
        <w:spacing w:after="120" w:line="240" w:lineRule="auto"/>
        <w:jc w:val="both"/>
        <w:rPr>
          <w:rFonts w:ascii="Times New Roman" w:hAnsi="Times New Roman" w:cs="Times New Roman"/>
          <w:sz w:val="20"/>
          <w:szCs w:val="20"/>
        </w:rPr>
      </w:pPr>
      <w:r w:rsidRPr="00B07C82">
        <w:rPr>
          <w:rStyle w:val="FootnoteReference"/>
          <w:rFonts w:ascii="Times New Roman" w:hAnsi="Times New Roman" w:cs="Times New Roman"/>
          <w:sz w:val="20"/>
          <w:szCs w:val="20"/>
        </w:rPr>
        <w:footnoteRef/>
      </w:r>
      <w:r w:rsidRPr="00B07C82">
        <w:rPr>
          <w:rFonts w:ascii="Times New Roman" w:hAnsi="Times New Roman" w:cs="Times New Roman"/>
          <w:sz w:val="20"/>
          <w:szCs w:val="20"/>
        </w:rPr>
        <w:t xml:space="preserve"> </w:t>
      </w:r>
      <w:r w:rsidRPr="007F424A">
        <w:rPr>
          <w:rFonts w:ascii="Times New Roman" w:hAnsi="Times New Roman" w:cs="Times New Roman"/>
          <w:sz w:val="20"/>
          <w:szCs w:val="20"/>
        </w:rPr>
        <w:t>Parasti zemākā</w:t>
      </w:r>
      <w:r w:rsidRPr="00B07C82">
        <w:rPr>
          <w:rFonts w:ascii="Times New Roman" w:hAnsi="Times New Roman" w:cs="Times New Roman"/>
          <w:sz w:val="20"/>
          <w:szCs w:val="20"/>
        </w:rPr>
        <w:t xml:space="preserve"> no divām monetārajām peļņām ir nulle, bet tam tā nav jābūt obligāti. Binār</w:t>
      </w:r>
      <w:r w:rsidR="007324C7">
        <w:rPr>
          <w:rFonts w:ascii="Times New Roman" w:hAnsi="Times New Roman" w:cs="Times New Roman"/>
          <w:sz w:val="20"/>
          <w:szCs w:val="20"/>
        </w:rPr>
        <w:t>o</w:t>
      </w:r>
      <w:r w:rsidRPr="00B07C82">
        <w:rPr>
          <w:rFonts w:ascii="Times New Roman" w:hAnsi="Times New Roman" w:cs="Times New Roman"/>
          <w:sz w:val="20"/>
          <w:szCs w:val="20"/>
        </w:rPr>
        <w:t xml:space="preserve"> iespēju līgumi atšķiras no citiem spekulatīviem produktiem, kurus pārdod privātajiem klientiem</w:t>
      </w:r>
      <w:r w:rsidR="007324C7">
        <w:rPr>
          <w:rFonts w:ascii="Times New Roman" w:hAnsi="Times New Roman" w:cs="Times New Roman"/>
          <w:sz w:val="20"/>
          <w:szCs w:val="20"/>
        </w:rPr>
        <w:t xml:space="preserve"> (</w:t>
      </w:r>
      <w:r w:rsidRPr="00B07C82">
        <w:rPr>
          <w:rFonts w:ascii="Times New Roman" w:hAnsi="Times New Roman" w:cs="Times New Roman"/>
          <w:sz w:val="20"/>
          <w:szCs w:val="20"/>
        </w:rPr>
        <w:t>piemēram, līgumiem par starpīb</w:t>
      </w:r>
      <w:r w:rsidR="007324C7">
        <w:rPr>
          <w:rFonts w:ascii="Times New Roman" w:hAnsi="Times New Roman" w:cs="Times New Roman"/>
          <w:sz w:val="20"/>
          <w:szCs w:val="20"/>
        </w:rPr>
        <w:t>u)</w:t>
      </w:r>
      <w:r w:rsidRPr="00B07C82">
        <w:rPr>
          <w:rFonts w:ascii="Times New Roman" w:hAnsi="Times New Roman" w:cs="Times New Roman"/>
          <w:sz w:val="20"/>
          <w:szCs w:val="20"/>
        </w:rPr>
        <w:t>, jo maksājums ir iepriekš noteikta monetāra summa, kas nav tiešā veidā saistīta ar pamatā esošā vērtspapīra cenas, līmeņa vai vērtības izmaiņu apmēru.</w:t>
      </w:r>
    </w:p>
  </w:footnote>
  <w:footnote w:id="18">
    <w:p w14:paraId="04EFBE9C" w14:textId="51465187" w:rsidR="00B07C82" w:rsidRPr="00B07C82" w:rsidRDefault="00B07C82" w:rsidP="00C079FF">
      <w:pPr>
        <w:pStyle w:val="FootnoteText"/>
        <w:spacing w:after="120"/>
        <w:jc w:val="both"/>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3007D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13.</w:t>
      </w:r>
      <w:r w:rsidR="00976D99">
        <w:rPr>
          <w:rFonts w:ascii="Times New Roman" w:hAnsi="Times New Roman" w:cs="Times New Roman"/>
        </w:rPr>
        <w:t> </w:t>
      </w:r>
      <w:r w:rsidRPr="00B07C82">
        <w:rPr>
          <w:rFonts w:ascii="Times New Roman" w:hAnsi="Times New Roman" w:cs="Times New Roman"/>
        </w:rPr>
        <w:t>apsvērum</w:t>
      </w:r>
      <w:r w:rsidR="003007D9">
        <w:rPr>
          <w:rFonts w:ascii="Times New Roman" w:hAnsi="Times New Roman" w:cs="Times New Roman"/>
        </w:rPr>
        <w:t>s</w:t>
      </w:r>
      <w:r w:rsidRPr="00B07C82">
        <w:rPr>
          <w:rFonts w:ascii="Times New Roman" w:hAnsi="Times New Roman" w:cs="Times New Roman"/>
        </w:rPr>
        <w:t>.</w:t>
      </w:r>
    </w:p>
  </w:footnote>
  <w:footnote w:id="19">
    <w:p w14:paraId="7C7013DA" w14:textId="17C3D3CD" w:rsidR="00B07C82" w:rsidRPr="00B07C82" w:rsidRDefault="00B07C82" w:rsidP="00C079FF">
      <w:pPr>
        <w:pStyle w:val="FootnoteText"/>
        <w:spacing w:after="120"/>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3007D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13.</w:t>
      </w:r>
      <w:r w:rsidR="00976D99">
        <w:rPr>
          <w:rFonts w:ascii="Times New Roman" w:hAnsi="Times New Roman" w:cs="Times New Roman"/>
        </w:rPr>
        <w:t> </w:t>
      </w:r>
      <w:r w:rsidRPr="00B07C82">
        <w:rPr>
          <w:rFonts w:ascii="Times New Roman" w:hAnsi="Times New Roman" w:cs="Times New Roman"/>
        </w:rPr>
        <w:t>apsvērum</w:t>
      </w:r>
      <w:r w:rsidR="003007D9">
        <w:rPr>
          <w:rFonts w:ascii="Times New Roman" w:hAnsi="Times New Roman" w:cs="Times New Roman"/>
        </w:rPr>
        <w:t>s</w:t>
      </w:r>
      <w:r w:rsidRPr="00B07C82">
        <w:rPr>
          <w:rFonts w:ascii="Times New Roman" w:hAnsi="Times New Roman" w:cs="Times New Roman"/>
        </w:rPr>
        <w:t>.</w:t>
      </w:r>
    </w:p>
  </w:footnote>
  <w:footnote w:id="20">
    <w:p w14:paraId="72B68056" w14:textId="57D01AB1" w:rsidR="00B07C82" w:rsidRDefault="00B07C82" w:rsidP="00C079FF">
      <w:pPr>
        <w:pStyle w:val="FootnoteText"/>
        <w:spacing w:after="120"/>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3007D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13.</w:t>
      </w:r>
      <w:r w:rsidR="00976D99">
        <w:rPr>
          <w:rFonts w:ascii="Times New Roman" w:hAnsi="Times New Roman" w:cs="Times New Roman"/>
        </w:rPr>
        <w:t> </w:t>
      </w:r>
      <w:r w:rsidRPr="00B07C82">
        <w:rPr>
          <w:rFonts w:ascii="Times New Roman" w:hAnsi="Times New Roman" w:cs="Times New Roman"/>
        </w:rPr>
        <w:t>apsvērums.</w:t>
      </w:r>
    </w:p>
  </w:footnote>
  <w:footnote w:id="21">
    <w:p w14:paraId="5E66640B" w14:textId="7BB10FFF" w:rsidR="00B07C82" w:rsidRPr="00B07C82" w:rsidRDefault="00B07C82" w:rsidP="00B07C82">
      <w:pPr>
        <w:pStyle w:val="FootnoteText"/>
        <w:spacing w:after="120"/>
        <w:jc w:val="both"/>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Saskaņā ar Finanšu instrumentu tirgu</w:t>
      </w:r>
      <w:r w:rsidR="00DC0A5B">
        <w:rPr>
          <w:rFonts w:ascii="Times New Roman" w:hAnsi="Times New Roman" w:cs="Times New Roman"/>
        </w:rPr>
        <w:t>s</w:t>
      </w:r>
      <w:r w:rsidRPr="00B07C82">
        <w:rPr>
          <w:rFonts w:ascii="Times New Roman" w:hAnsi="Times New Roman" w:cs="Times New Roman"/>
        </w:rPr>
        <w:t xml:space="preserve"> likuma 126.</w:t>
      </w:r>
      <w:r w:rsidRPr="00976D99">
        <w:rPr>
          <w:rFonts w:ascii="Times New Roman" w:hAnsi="Times New Roman" w:cs="Times New Roman"/>
          <w:vertAlign w:val="superscript"/>
        </w:rPr>
        <w:t>2</w:t>
      </w:r>
      <w:r w:rsidR="00976D99">
        <w:rPr>
          <w:rFonts w:ascii="Times New Roman" w:hAnsi="Times New Roman" w:cs="Times New Roman"/>
          <w:vertAlign w:val="superscript"/>
        </w:rPr>
        <w:t> </w:t>
      </w:r>
      <w:r w:rsidRPr="00B07C82">
        <w:rPr>
          <w:rFonts w:ascii="Times New Roman" w:hAnsi="Times New Roman" w:cs="Times New Roman"/>
        </w:rPr>
        <w:t>panta divpadsmitās daļas 1.</w:t>
      </w:r>
      <w:r w:rsidR="00976D99">
        <w:rPr>
          <w:rFonts w:ascii="Times New Roman" w:hAnsi="Times New Roman" w:cs="Times New Roman"/>
        </w:rPr>
        <w:t> </w:t>
      </w:r>
      <w:r w:rsidRPr="00B07C82">
        <w:rPr>
          <w:rFonts w:ascii="Times New Roman" w:hAnsi="Times New Roman" w:cs="Times New Roman"/>
        </w:rPr>
        <w:t>punktu un Deleģētās regulas Nr.</w:t>
      </w:r>
      <w:r w:rsidR="00976D99">
        <w:rPr>
          <w:rFonts w:ascii="Times New Roman" w:hAnsi="Times New Roman" w:cs="Times New Roman"/>
        </w:rPr>
        <w:t> </w:t>
      </w:r>
      <w:r w:rsidRPr="00B07C82">
        <w:rPr>
          <w:rFonts w:ascii="Times New Roman" w:hAnsi="Times New Roman" w:cs="Times New Roman"/>
        </w:rPr>
        <w:t>2017/565 57.</w:t>
      </w:r>
      <w:r w:rsidR="00976D99">
        <w:rPr>
          <w:rFonts w:ascii="Times New Roman" w:hAnsi="Times New Roman" w:cs="Times New Roman"/>
        </w:rPr>
        <w:t> </w:t>
      </w:r>
      <w:r w:rsidRPr="00B07C82">
        <w:rPr>
          <w:rFonts w:ascii="Times New Roman" w:hAnsi="Times New Roman" w:cs="Times New Roman"/>
        </w:rPr>
        <w:t xml:space="preserve">pantu bināro iespēju līgumi neatbilst attiecīgajiem kritērijiem, lai tos uzskatītu </w:t>
      </w:r>
      <w:r w:rsidR="003007D9">
        <w:rPr>
          <w:rFonts w:ascii="Times New Roman" w:hAnsi="Times New Roman" w:cs="Times New Roman"/>
        </w:rPr>
        <w:t xml:space="preserve">par </w:t>
      </w:r>
      <w:r w:rsidRPr="00B07C82">
        <w:rPr>
          <w:rFonts w:ascii="Times New Roman" w:hAnsi="Times New Roman" w:cs="Times New Roman"/>
        </w:rPr>
        <w:t>vienkāršiem finanšu instrumentiem</w:t>
      </w:r>
      <w:r w:rsidR="003007D9">
        <w:rPr>
          <w:rFonts w:ascii="Times New Roman" w:hAnsi="Times New Roman" w:cs="Times New Roman"/>
        </w:rPr>
        <w:t>.</w:t>
      </w:r>
    </w:p>
  </w:footnote>
  <w:footnote w:id="22">
    <w:p w14:paraId="1918DD21" w14:textId="0416C349" w:rsidR="00B07C82" w:rsidRPr="00B07C82" w:rsidRDefault="00B07C82" w:rsidP="00B07C82">
      <w:pPr>
        <w:pStyle w:val="FootnoteText"/>
        <w:spacing w:after="120"/>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3007D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16.</w:t>
      </w:r>
      <w:r w:rsidR="00976D99">
        <w:rPr>
          <w:rFonts w:ascii="Times New Roman" w:hAnsi="Times New Roman" w:cs="Times New Roman"/>
        </w:rPr>
        <w:t> </w:t>
      </w:r>
      <w:r w:rsidRPr="00B07C82">
        <w:rPr>
          <w:rFonts w:ascii="Times New Roman" w:hAnsi="Times New Roman" w:cs="Times New Roman"/>
        </w:rPr>
        <w:t>apsvērums.</w:t>
      </w:r>
    </w:p>
  </w:footnote>
  <w:footnote w:id="23">
    <w:p w14:paraId="69E7FA60" w14:textId="503F38F5" w:rsidR="00B07C82" w:rsidRDefault="00B07C82" w:rsidP="00B07C82">
      <w:pPr>
        <w:pStyle w:val="FootnoteText"/>
        <w:spacing w:after="120"/>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3007D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20.</w:t>
      </w:r>
      <w:r w:rsidR="00976D99">
        <w:rPr>
          <w:rFonts w:ascii="Times New Roman" w:hAnsi="Times New Roman" w:cs="Times New Roman"/>
        </w:rPr>
        <w:t> </w:t>
      </w:r>
      <w:r w:rsidRPr="00B07C82">
        <w:rPr>
          <w:rFonts w:ascii="Times New Roman" w:hAnsi="Times New Roman" w:cs="Times New Roman"/>
        </w:rPr>
        <w:t>apsvērums.</w:t>
      </w:r>
    </w:p>
  </w:footnote>
  <w:footnote w:id="24">
    <w:p w14:paraId="037D2858" w14:textId="470CFACB" w:rsidR="00B07C82" w:rsidRPr="00B07C82" w:rsidRDefault="00B07C82" w:rsidP="00B07C82">
      <w:pPr>
        <w:pStyle w:val="FootnoteText"/>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w:t>
      </w:r>
      <w:r w:rsidR="003007D9">
        <w:rPr>
          <w:rFonts w:ascii="Times New Roman" w:hAnsi="Times New Roman" w:cs="Times New Roman"/>
        </w:rPr>
        <w:t xml:space="preserve"> </w:t>
      </w:r>
      <w:r w:rsidR="003007D9" w:rsidRPr="003007D9">
        <w:rPr>
          <w:rFonts w:ascii="Times New Roman" w:hAnsi="Times New Roman" w:cs="Times New Roman"/>
        </w:rPr>
        <w:t>2018. gada 22. maija</w:t>
      </w:r>
      <w:r w:rsidRPr="00B07C82">
        <w:rPr>
          <w:rFonts w:ascii="Times New Roman" w:hAnsi="Times New Roman" w:cs="Times New Roman"/>
        </w:rPr>
        <w:t xml:space="preserve"> bināro iespēju līgumu intervences lēmuma 22.</w:t>
      </w:r>
      <w:r w:rsidR="00D551DC">
        <w:rPr>
          <w:rFonts w:ascii="Times New Roman" w:hAnsi="Times New Roman" w:cs="Times New Roman"/>
        </w:rPr>
        <w:t> </w:t>
      </w:r>
      <w:r w:rsidRPr="00B07C82">
        <w:rPr>
          <w:rFonts w:ascii="Times New Roman" w:hAnsi="Times New Roman" w:cs="Times New Roman"/>
        </w:rPr>
        <w:t>apsvērums.</w:t>
      </w:r>
    </w:p>
  </w:footnote>
  <w:footnote w:id="25">
    <w:p w14:paraId="031A5E46" w14:textId="6AB90D64" w:rsidR="00D551DC" w:rsidRPr="00046FC6" w:rsidRDefault="00D551DC" w:rsidP="00D551DC">
      <w:pPr>
        <w:pStyle w:val="FootnoteText"/>
        <w:spacing w:after="120"/>
        <w:rPr>
          <w:rFonts w:ascii="Times New Roman" w:hAnsi="Times New Roman" w:cs="Times New Roman"/>
        </w:rPr>
      </w:pPr>
      <w:r w:rsidRPr="00046FC6">
        <w:rPr>
          <w:rStyle w:val="FootnoteReference"/>
          <w:rFonts w:ascii="Times New Roman" w:hAnsi="Times New Roman" w:cs="Times New Roman"/>
        </w:rPr>
        <w:footnoteRef/>
      </w:r>
      <w:r w:rsidRPr="00046FC6">
        <w:rPr>
          <w:rFonts w:ascii="Times New Roman" w:hAnsi="Times New Roman" w:cs="Times New Roman"/>
        </w:rPr>
        <w:t xml:space="preserve"> </w:t>
      </w:r>
      <w:bookmarkStart w:id="10" w:name="_Hlk173849438"/>
      <w:r w:rsidRPr="006933E2">
        <w:rPr>
          <w:rFonts w:ascii="Times New Roman" w:hAnsi="Times New Roman" w:cs="Times New Roman"/>
        </w:rPr>
        <w:t xml:space="preserve">EVTI </w:t>
      </w:r>
      <w:r w:rsidR="003007D9" w:rsidRPr="006933E2">
        <w:rPr>
          <w:rFonts w:ascii="Times New Roman" w:hAnsi="Times New Roman" w:cs="Times New Roman"/>
        </w:rPr>
        <w:t xml:space="preserve">2018. gada 22. maija </w:t>
      </w:r>
      <w:r w:rsidRPr="006933E2">
        <w:rPr>
          <w:rFonts w:ascii="Times New Roman" w:hAnsi="Times New Roman" w:cs="Times New Roman"/>
        </w:rPr>
        <w:t xml:space="preserve">bināro iespēju līgumu intervences </w:t>
      </w:r>
      <w:bookmarkEnd w:id="10"/>
      <w:r w:rsidRPr="006933E2">
        <w:rPr>
          <w:rFonts w:ascii="Times New Roman" w:hAnsi="Times New Roman" w:cs="Times New Roman"/>
        </w:rPr>
        <w:t>lēmuma 30. apsvērums.</w:t>
      </w:r>
    </w:p>
  </w:footnote>
  <w:footnote w:id="26">
    <w:p w14:paraId="1911FA5D" w14:textId="15B1CD90" w:rsidR="00D551DC" w:rsidRDefault="00D551DC" w:rsidP="001768C9">
      <w:pPr>
        <w:pStyle w:val="FootnoteText"/>
        <w:spacing w:after="120"/>
        <w:jc w:val="both"/>
      </w:pPr>
      <w:r w:rsidRPr="00046FC6">
        <w:rPr>
          <w:rStyle w:val="FootnoteReference"/>
          <w:rFonts w:ascii="Times New Roman" w:hAnsi="Times New Roman" w:cs="Times New Roman"/>
        </w:rPr>
        <w:footnoteRef/>
      </w:r>
      <w:r w:rsidRPr="00046FC6">
        <w:rPr>
          <w:rFonts w:ascii="Times New Roman" w:hAnsi="Times New Roman" w:cs="Times New Roman"/>
        </w:rPr>
        <w:t xml:space="preserve"> </w:t>
      </w:r>
      <w:r w:rsidR="00DE6BAB" w:rsidRPr="006933E2">
        <w:rPr>
          <w:rFonts w:ascii="Times New Roman" w:hAnsi="Times New Roman" w:cs="Times New Roman"/>
        </w:rPr>
        <w:t>EVTI</w:t>
      </w:r>
      <w:r w:rsidRPr="006933E2">
        <w:rPr>
          <w:rFonts w:ascii="Times New Roman" w:hAnsi="Times New Roman" w:cs="Times New Roman"/>
        </w:rPr>
        <w:t xml:space="preserve"> jautājumu un atbilžu saistībā ar līgumu par starpīb</w:t>
      </w:r>
      <w:r w:rsidR="003007D9" w:rsidRPr="006933E2">
        <w:rPr>
          <w:rFonts w:ascii="Times New Roman" w:hAnsi="Times New Roman" w:cs="Times New Roman"/>
        </w:rPr>
        <w:t>u</w:t>
      </w:r>
      <w:r w:rsidRPr="006933E2">
        <w:rPr>
          <w:rFonts w:ascii="Times New Roman" w:hAnsi="Times New Roman" w:cs="Times New Roman"/>
        </w:rPr>
        <w:t xml:space="preserve"> un citu spekulatīvu produktu nodrošināšanu privātajiem ieguldītājiem atbilstīgi Finanšu instrumentu tirgu direktīvai (ESMA</w:t>
      </w:r>
      <w:r w:rsidR="003101ED" w:rsidRPr="006933E2">
        <w:rPr>
          <w:rFonts w:ascii="Times New Roman" w:hAnsi="Times New Roman" w:cs="Times New Roman"/>
        </w:rPr>
        <w:t> </w:t>
      </w:r>
      <w:r w:rsidRPr="006933E2">
        <w:rPr>
          <w:rFonts w:ascii="Times New Roman" w:hAnsi="Times New Roman" w:cs="Times New Roman"/>
        </w:rPr>
        <w:t>35-36-794), kas atjaunināti</w:t>
      </w:r>
      <w:r w:rsidRPr="00B07C82">
        <w:rPr>
          <w:rFonts w:ascii="Times New Roman" w:hAnsi="Times New Roman" w:cs="Times New Roman"/>
        </w:rPr>
        <w:t xml:space="preserve"> 2017.</w:t>
      </w:r>
      <w:r w:rsidR="001768C9">
        <w:rPr>
          <w:rFonts w:ascii="Times New Roman" w:hAnsi="Times New Roman" w:cs="Times New Roman"/>
        </w:rPr>
        <w:t> </w:t>
      </w:r>
      <w:r w:rsidRPr="00B07C82">
        <w:rPr>
          <w:rFonts w:ascii="Times New Roman" w:hAnsi="Times New Roman" w:cs="Times New Roman"/>
        </w:rPr>
        <w:t>gada 31.</w:t>
      </w:r>
      <w:r w:rsidR="001768C9">
        <w:rPr>
          <w:rFonts w:ascii="Times New Roman" w:hAnsi="Times New Roman" w:cs="Times New Roman"/>
        </w:rPr>
        <w:t> </w:t>
      </w:r>
      <w:r w:rsidRPr="00B07C82">
        <w:rPr>
          <w:rFonts w:ascii="Times New Roman" w:hAnsi="Times New Roman" w:cs="Times New Roman"/>
        </w:rPr>
        <w:t>martā, 2.</w:t>
      </w:r>
      <w:r w:rsidR="001768C9">
        <w:rPr>
          <w:rFonts w:ascii="Times New Roman" w:hAnsi="Times New Roman" w:cs="Times New Roman"/>
        </w:rPr>
        <w:t> </w:t>
      </w:r>
      <w:r w:rsidRPr="00B07C82">
        <w:rPr>
          <w:rFonts w:ascii="Times New Roman" w:hAnsi="Times New Roman" w:cs="Times New Roman"/>
        </w:rPr>
        <w:t>sadaļā ir sīkāk aplūkoti atsevišķi šādi interešu konflikti.</w:t>
      </w:r>
    </w:p>
  </w:footnote>
  <w:footnote w:id="27">
    <w:p w14:paraId="37E5A299" w14:textId="4288C805" w:rsidR="00B07C82" w:rsidRPr="00B07C82" w:rsidRDefault="00B07C82" w:rsidP="003007D9">
      <w:pPr>
        <w:pStyle w:val="FootnoteText"/>
        <w:spacing w:after="120"/>
        <w:jc w:val="both"/>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Skat. </w:t>
      </w:r>
      <w:r w:rsidR="003007D9" w:rsidRPr="007652DA">
        <w:rPr>
          <w:rFonts w:ascii="Times New Roman" w:hAnsi="Times New Roman" w:cs="Times New Roman"/>
        </w:rPr>
        <w:t>EVTI 2018.</w:t>
      </w:r>
      <w:r w:rsidR="00220999">
        <w:rPr>
          <w:rFonts w:ascii="Times New Roman" w:hAnsi="Times New Roman" w:cs="Times New Roman"/>
        </w:rPr>
        <w:t> </w:t>
      </w:r>
      <w:r w:rsidR="003007D9" w:rsidRPr="007652DA">
        <w:rPr>
          <w:rFonts w:ascii="Times New Roman" w:hAnsi="Times New Roman" w:cs="Times New Roman"/>
        </w:rPr>
        <w:t>gada 1.</w:t>
      </w:r>
      <w:r w:rsidR="00220999">
        <w:rPr>
          <w:rFonts w:ascii="Times New Roman" w:hAnsi="Times New Roman" w:cs="Times New Roman"/>
        </w:rPr>
        <w:t> </w:t>
      </w:r>
      <w:r w:rsidR="003007D9" w:rsidRPr="007652DA">
        <w:rPr>
          <w:rFonts w:ascii="Times New Roman" w:hAnsi="Times New Roman" w:cs="Times New Roman"/>
        </w:rPr>
        <w:t xml:space="preserve">jūnija </w:t>
      </w:r>
      <w:r w:rsidR="003007D9">
        <w:rPr>
          <w:rFonts w:ascii="Times New Roman" w:hAnsi="Times New Roman" w:cs="Times New Roman"/>
        </w:rPr>
        <w:t>dokumentu Nr. </w:t>
      </w:r>
      <w:r w:rsidR="003007D9" w:rsidRPr="007652DA">
        <w:rPr>
          <w:rFonts w:ascii="Times New Roman" w:hAnsi="Times New Roman" w:cs="Times New Roman"/>
        </w:rPr>
        <w:t>ESMA50-162-214 "Produktu intervences analīze</w:t>
      </w:r>
      <w:r w:rsidR="00220999">
        <w:rPr>
          <w:rFonts w:ascii="Times New Roman" w:hAnsi="Times New Roman" w:cs="Times New Roman"/>
        </w:rPr>
        <w:t> </w:t>
      </w:r>
      <w:r w:rsidR="003007D9" w:rsidRPr="007652DA">
        <w:rPr>
          <w:rFonts w:ascii="Times New Roman" w:hAnsi="Times New Roman" w:cs="Times New Roman"/>
        </w:rPr>
        <w:t xml:space="preserve">– </w:t>
      </w:r>
      <w:r w:rsidR="003007D9">
        <w:rPr>
          <w:rFonts w:ascii="Times New Roman" w:hAnsi="Times New Roman" w:cs="Times New Roman"/>
        </w:rPr>
        <w:t xml:space="preserve">pasākumi </w:t>
      </w:r>
      <w:r w:rsidR="003007D9" w:rsidRPr="007652DA">
        <w:rPr>
          <w:rFonts w:ascii="Times New Roman" w:hAnsi="Times New Roman" w:cs="Times New Roman"/>
        </w:rPr>
        <w:t>attiecībā uz binār</w:t>
      </w:r>
      <w:r w:rsidR="003007D9">
        <w:rPr>
          <w:rFonts w:ascii="Times New Roman" w:hAnsi="Times New Roman" w:cs="Times New Roman"/>
        </w:rPr>
        <w:t xml:space="preserve">o </w:t>
      </w:r>
      <w:r w:rsidR="003007D9" w:rsidRPr="007652DA">
        <w:rPr>
          <w:rFonts w:ascii="Times New Roman" w:hAnsi="Times New Roman" w:cs="Times New Roman"/>
        </w:rPr>
        <w:t>iespēju līgumiem</w:t>
      </w:r>
      <w:r w:rsidR="003007D9">
        <w:rPr>
          <w:rFonts w:ascii="Times New Roman" w:hAnsi="Times New Roman" w:cs="Times New Roman"/>
        </w:rPr>
        <w:t>"</w:t>
      </w:r>
      <w:r w:rsidRPr="00B07C82">
        <w:rPr>
          <w:rFonts w:ascii="Times New Roman" w:hAnsi="Times New Roman" w:cs="Times New Roman"/>
        </w:rPr>
        <w:t>.</w:t>
      </w:r>
    </w:p>
  </w:footnote>
  <w:footnote w:id="28">
    <w:p w14:paraId="7F9B8B2A" w14:textId="144228F7" w:rsidR="00B07C82" w:rsidRDefault="00B07C82" w:rsidP="003007D9">
      <w:pPr>
        <w:pStyle w:val="FootnoteText"/>
        <w:spacing w:after="120"/>
        <w:jc w:val="both"/>
      </w:pPr>
      <w:r w:rsidRPr="00B07C82">
        <w:rPr>
          <w:rStyle w:val="FootnoteReference"/>
          <w:rFonts w:ascii="Times New Roman" w:hAnsi="Times New Roman" w:cs="Times New Roman"/>
        </w:rPr>
        <w:footnoteRef/>
      </w:r>
      <w:r w:rsidRPr="00B07C82">
        <w:rPr>
          <w:rFonts w:ascii="Times New Roman" w:hAnsi="Times New Roman" w:cs="Times New Roman"/>
        </w:rPr>
        <w:t xml:space="preserve"> Skat. </w:t>
      </w:r>
      <w:r w:rsidR="003007D9" w:rsidRPr="003007D9">
        <w:rPr>
          <w:rFonts w:ascii="Times New Roman" w:hAnsi="Times New Roman" w:cs="Times New Roman"/>
        </w:rPr>
        <w:t>EVTI 2018.</w:t>
      </w:r>
      <w:r w:rsidR="00220999">
        <w:rPr>
          <w:rFonts w:ascii="Times New Roman" w:hAnsi="Times New Roman" w:cs="Times New Roman"/>
        </w:rPr>
        <w:t> </w:t>
      </w:r>
      <w:r w:rsidR="003007D9" w:rsidRPr="003007D9">
        <w:rPr>
          <w:rFonts w:ascii="Times New Roman" w:hAnsi="Times New Roman" w:cs="Times New Roman"/>
        </w:rPr>
        <w:t>gada 1.</w:t>
      </w:r>
      <w:r w:rsidR="00220999">
        <w:rPr>
          <w:rFonts w:ascii="Times New Roman" w:hAnsi="Times New Roman" w:cs="Times New Roman"/>
        </w:rPr>
        <w:t> </w:t>
      </w:r>
      <w:r w:rsidR="003007D9" w:rsidRPr="003007D9">
        <w:rPr>
          <w:rFonts w:ascii="Times New Roman" w:hAnsi="Times New Roman" w:cs="Times New Roman"/>
        </w:rPr>
        <w:t>jūnija dokument</w:t>
      </w:r>
      <w:r w:rsidR="003007D9">
        <w:rPr>
          <w:rFonts w:ascii="Times New Roman" w:hAnsi="Times New Roman" w:cs="Times New Roman"/>
        </w:rPr>
        <w:t>u</w:t>
      </w:r>
      <w:r w:rsidR="003007D9" w:rsidRPr="003007D9">
        <w:rPr>
          <w:rFonts w:ascii="Times New Roman" w:hAnsi="Times New Roman" w:cs="Times New Roman"/>
        </w:rPr>
        <w:t xml:space="preserve"> Nr. ESMA50-162-214 "Produktu intervences analīze</w:t>
      </w:r>
      <w:r w:rsidR="00220999">
        <w:rPr>
          <w:rFonts w:ascii="Times New Roman" w:hAnsi="Times New Roman" w:cs="Times New Roman"/>
        </w:rPr>
        <w:t> </w:t>
      </w:r>
      <w:r w:rsidR="003007D9" w:rsidRPr="003007D9">
        <w:rPr>
          <w:rFonts w:ascii="Times New Roman" w:hAnsi="Times New Roman" w:cs="Times New Roman"/>
        </w:rPr>
        <w:t>– pasākumi attiecībā uz bināro iespēju līgumiem"</w:t>
      </w:r>
      <w:r w:rsidR="003007D9">
        <w:rPr>
          <w:rFonts w:ascii="Times New Roman" w:hAnsi="Times New Roman" w:cs="Times New Roman"/>
        </w:rPr>
        <w:t>.</w:t>
      </w:r>
    </w:p>
  </w:footnote>
  <w:footnote w:id="29">
    <w:p w14:paraId="0D36C452" w14:textId="5E8192BD" w:rsidR="00B07C82" w:rsidRPr="00B07C82" w:rsidRDefault="00B07C82" w:rsidP="00B07C82">
      <w:pPr>
        <w:pStyle w:val="FootnoteText"/>
        <w:spacing w:after="120"/>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36.</w:t>
      </w:r>
      <w:r w:rsidR="001768C9">
        <w:rPr>
          <w:rFonts w:ascii="Times New Roman" w:hAnsi="Times New Roman" w:cs="Times New Roman"/>
        </w:rPr>
        <w:t> </w:t>
      </w:r>
      <w:r w:rsidRPr="00B07C82">
        <w:rPr>
          <w:rFonts w:ascii="Times New Roman" w:hAnsi="Times New Roman" w:cs="Times New Roman"/>
        </w:rPr>
        <w:t>apsvērums.</w:t>
      </w:r>
    </w:p>
  </w:footnote>
  <w:footnote w:id="30">
    <w:p w14:paraId="09162D39" w14:textId="554ACC29" w:rsidR="00B07C82" w:rsidRPr="00B07C82" w:rsidRDefault="00B07C82" w:rsidP="001768C9">
      <w:pPr>
        <w:pStyle w:val="FootnoteText"/>
        <w:spacing w:after="120"/>
        <w:jc w:val="both"/>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80.</w:t>
      </w:r>
      <w:r w:rsidR="001768C9">
        <w:rPr>
          <w:rFonts w:ascii="Times New Roman" w:hAnsi="Times New Roman" w:cs="Times New Roman"/>
        </w:rPr>
        <w:t> </w:t>
      </w:r>
      <w:r w:rsidRPr="00B07C82">
        <w:rPr>
          <w:rFonts w:ascii="Times New Roman" w:hAnsi="Times New Roman" w:cs="Times New Roman"/>
        </w:rPr>
        <w:t xml:space="preserve">apsvērums un </w:t>
      </w:r>
      <w:r w:rsidR="00220999" w:rsidRPr="007652DA">
        <w:rPr>
          <w:rFonts w:ascii="Times New Roman" w:hAnsi="Times New Roman" w:cs="Times New Roman"/>
        </w:rPr>
        <w:t>EVTI 2018.</w:t>
      </w:r>
      <w:r w:rsidR="00220999">
        <w:rPr>
          <w:rFonts w:ascii="Times New Roman" w:hAnsi="Times New Roman" w:cs="Times New Roman"/>
        </w:rPr>
        <w:t> </w:t>
      </w:r>
      <w:r w:rsidR="00220999" w:rsidRPr="007652DA">
        <w:rPr>
          <w:rFonts w:ascii="Times New Roman" w:hAnsi="Times New Roman" w:cs="Times New Roman"/>
        </w:rPr>
        <w:t>gada 1.</w:t>
      </w:r>
      <w:r w:rsidR="00220999">
        <w:rPr>
          <w:rFonts w:ascii="Times New Roman" w:hAnsi="Times New Roman" w:cs="Times New Roman"/>
        </w:rPr>
        <w:t> </w:t>
      </w:r>
      <w:r w:rsidR="00220999" w:rsidRPr="007652DA">
        <w:rPr>
          <w:rFonts w:ascii="Times New Roman" w:hAnsi="Times New Roman" w:cs="Times New Roman"/>
        </w:rPr>
        <w:t xml:space="preserve">jūnija </w:t>
      </w:r>
      <w:r w:rsidR="00220999">
        <w:rPr>
          <w:rFonts w:ascii="Times New Roman" w:hAnsi="Times New Roman" w:cs="Times New Roman"/>
        </w:rPr>
        <w:t>dokuments Nr. </w:t>
      </w:r>
      <w:r w:rsidR="00220999" w:rsidRPr="007652DA">
        <w:rPr>
          <w:rFonts w:ascii="Times New Roman" w:hAnsi="Times New Roman" w:cs="Times New Roman"/>
        </w:rPr>
        <w:t>ESMA50-162-214 "Produktu intervences analīze</w:t>
      </w:r>
      <w:r w:rsidR="00220999">
        <w:rPr>
          <w:rFonts w:ascii="Times New Roman" w:hAnsi="Times New Roman" w:cs="Times New Roman"/>
        </w:rPr>
        <w:t> </w:t>
      </w:r>
      <w:r w:rsidR="00220999" w:rsidRPr="007652DA">
        <w:rPr>
          <w:rFonts w:ascii="Times New Roman" w:hAnsi="Times New Roman" w:cs="Times New Roman"/>
        </w:rPr>
        <w:t xml:space="preserve">– </w:t>
      </w:r>
      <w:r w:rsidR="00220999">
        <w:rPr>
          <w:rFonts w:ascii="Times New Roman" w:hAnsi="Times New Roman" w:cs="Times New Roman"/>
        </w:rPr>
        <w:t xml:space="preserve">pasākumi </w:t>
      </w:r>
      <w:r w:rsidR="00220999" w:rsidRPr="007652DA">
        <w:rPr>
          <w:rFonts w:ascii="Times New Roman" w:hAnsi="Times New Roman" w:cs="Times New Roman"/>
        </w:rPr>
        <w:t>attiecībā uz binār</w:t>
      </w:r>
      <w:r w:rsidR="00220999">
        <w:rPr>
          <w:rFonts w:ascii="Times New Roman" w:hAnsi="Times New Roman" w:cs="Times New Roman"/>
        </w:rPr>
        <w:t xml:space="preserve">o </w:t>
      </w:r>
      <w:r w:rsidR="00220999" w:rsidRPr="007652DA">
        <w:rPr>
          <w:rFonts w:ascii="Times New Roman" w:hAnsi="Times New Roman" w:cs="Times New Roman"/>
        </w:rPr>
        <w:t>iespēju līgumiem</w:t>
      </w:r>
      <w:r w:rsidR="00220999">
        <w:rPr>
          <w:rFonts w:ascii="Times New Roman" w:hAnsi="Times New Roman" w:cs="Times New Roman"/>
        </w:rPr>
        <w:t>"</w:t>
      </w:r>
      <w:r w:rsidRPr="00B07C82">
        <w:rPr>
          <w:rFonts w:ascii="Times New Roman" w:hAnsi="Times New Roman" w:cs="Times New Roman"/>
        </w:rPr>
        <w:t>.</w:t>
      </w:r>
    </w:p>
  </w:footnote>
  <w:footnote w:id="31">
    <w:p w14:paraId="32D1965C" w14:textId="4155677E" w:rsidR="00B07C82" w:rsidRDefault="00B07C82" w:rsidP="00B07C82">
      <w:pPr>
        <w:pStyle w:val="FootnoteText"/>
        <w:spacing w:after="120"/>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81.</w:t>
      </w:r>
      <w:r w:rsidR="001768C9">
        <w:rPr>
          <w:rFonts w:ascii="Times New Roman" w:hAnsi="Times New Roman" w:cs="Times New Roman"/>
        </w:rPr>
        <w:t> </w:t>
      </w:r>
      <w:r w:rsidRPr="00B07C82">
        <w:rPr>
          <w:rFonts w:ascii="Times New Roman" w:hAnsi="Times New Roman" w:cs="Times New Roman"/>
        </w:rPr>
        <w:t>apsvērums.</w:t>
      </w:r>
    </w:p>
  </w:footnote>
  <w:footnote w:id="32">
    <w:p w14:paraId="2D82192C" w14:textId="3E089A26" w:rsidR="00B07C82" w:rsidRPr="00B07C82" w:rsidRDefault="00B07C82" w:rsidP="00B07C82">
      <w:pPr>
        <w:pStyle w:val="FootnoteText"/>
        <w:spacing w:after="120"/>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2018. gada 22. maija</w:t>
      </w:r>
      <w:r w:rsidR="00220999">
        <w:rPr>
          <w:rFonts w:ascii="Times New Roman" w:hAnsi="Times New Roman" w:cs="Times New Roman"/>
        </w:rPr>
        <w:t xml:space="preserve"> </w:t>
      </w:r>
      <w:r w:rsidRPr="00B07C82">
        <w:rPr>
          <w:rFonts w:ascii="Times New Roman" w:hAnsi="Times New Roman" w:cs="Times New Roman"/>
        </w:rPr>
        <w:t>bināro iespēju līgumu intervences lēmuma 86.</w:t>
      </w:r>
      <w:r w:rsidR="001768C9">
        <w:rPr>
          <w:rFonts w:ascii="Times New Roman" w:hAnsi="Times New Roman" w:cs="Times New Roman"/>
        </w:rPr>
        <w:t> </w:t>
      </w:r>
      <w:r w:rsidRPr="00B07C82">
        <w:rPr>
          <w:rFonts w:ascii="Times New Roman" w:hAnsi="Times New Roman" w:cs="Times New Roman"/>
        </w:rPr>
        <w:t>apsvērums.</w:t>
      </w:r>
    </w:p>
  </w:footnote>
  <w:footnote w:id="33">
    <w:p w14:paraId="730C66FA" w14:textId="11F26459" w:rsidR="00B07C82" w:rsidRPr="00B07C82" w:rsidRDefault="00B07C82" w:rsidP="00CC36DE">
      <w:pPr>
        <w:pStyle w:val="FootnoteText"/>
        <w:spacing w:after="120"/>
        <w:jc w:val="both"/>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w:t>
      </w:r>
      <w:r w:rsidR="00F17B85" w:rsidRPr="00F17B85">
        <w:rPr>
          <w:rFonts w:ascii="Times New Roman" w:hAnsi="Times New Roman" w:cs="Times New Roman"/>
        </w:rPr>
        <w:t>Starptautiskā</w:t>
      </w:r>
      <w:r w:rsidR="00F17B85">
        <w:rPr>
          <w:rFonts w:ascii="Times New Roman" w:hAnsi="Times New Roman" w:cs="Times New Roman"/>
        </w:rPr>
        <w:t>s</w:t>
      </w:r>
      <w:r w:rsidR="00F17B85" w:rsidRPr="00F17B85">
        <w:rPr>
          <w:rFonts w:ascii="Times New Roman" w:hAnsi="Times New Roman" w:cs="Times New Roman"/>
        </w:rPr>
        <w:t xml:space="preserve"> Vērtspapīru komisiju organizācija</w:t>
      </w:r>
      <w:r w:rsidR="00F17B85">
        <w:rPr>
          <w:rFonts w:ascii="Times New Roman" w:hAnsi="Times New Roman" w:cs="Times New Roman"/>
        </w:rPr>
        <w:t>s</w:t>
      </w:r>
      <w:r w:rsidR="00F17B85" w:rsidRPr="00F17B85">
        <w:rPr>
          <w:rFonts w:ascii="Times New Roman" w:hAnsi="Times New Roman" w:cs="Times New Roman"/>
        </w:rPr>
        <w:t xml:space="preserve"> </w:t>
      </w:r>
      <w:r w:rsidR="00CC36DE" w:rsidRPr="00B07C82">
        <w:rPr>
          <w:rFonts w:ascii="Times New Roman" w:hAnsi="Times New Roman" w:cs="Times New Roman"/>
        </w:rPr>
        <w:t>2016.</w:t>
      </w:r>
      <w:r w:rsidR="00CC36DE">
        <w:rPr>
          <w:rFonts w:ascii="Times New Roman" w:hAnsi="Times New Roman" w:cs="Times New Roman"/>
        </w:rPr>
        <w:t> </w:t>
      </w:r>
      <w:r w:rsidR="00CC36DE" w:rsidRPr="00B07C82">
        <w:rPr>
          <w:rFonts w:ascii="Times New Roman" w:hAnsi="Times New Roman" w:cs="Times New Roman"/>
        </w:rPr>
        <w:t>gada decembr</w:t>
      </w:r>
      <w:r w:rsidR="00CC36DE">
        <w:rPr>
          <w:rFonts w:ascii="Times New Roman" w:hAnsi="Times New Roman" w:cs="Times New Roman"/>
        </w:rPr>
        <w:t>a</w:t>
      </w:r>
      <w:r w:rsidR="00CC36DE" w:rsidRPr="00B07C82">
        <w:rPr>
          <w:rFonts w:ascii="Times New Roman" w:hAnsi="Times New Roman" w:cs="Times New Roman"/>
        </w:rPr>
        <w:t xml:space="preserve"> </w:t>
      </w:r>
      <w:r w:rsidRPr="00B07C82">
        <w:rPr>
          <w:rFonts w:ascii="Times New Roman" w:hAnsi="Times New Roman" w:cs="Times New Roman"/>
        </w:rPr>
        <w:t xml:space="preserve">ziņojums par </w:t>
      </w:r>
      <w:r w:rsidR="00F17B85">
        <w:rPr>
          <w:rFonts w:ascii="Times New Roman" w:hAnsi="Times New Roman" w:cs="Times New Roman"/>
        </w:rPr>
        <w:t>tās</w:t>
      </w:r>
      <w:r w:rsidRPr="00B07C82">
        <w:rPr>
          <w:rFonts w:ascii="Times New Roman" w:hAnsi="Times New Roman" w:cs="Times New Roman"/>
        </w:rPr>
        <w:t xml:space="preserve"> apsekojumu par ārpusbiržas produktiem ar sviras efektu,</w:t>
      </w:r>
      <w:r w:rsidR="00CC36DE">
        <w:rPr>
          <w:rFonts w:ascii="Times New Roman" w:hAnsi="Times New Roman" w:cs="Times New Roman"/>
        </w:rPr>
        <w:t xml:space="preserve"> </w:t>
      </w:r>
      <w:r w:rsidR="00CC36DE" w:rsidRPr="00B07C82">
        <w:rPr>
          <w:rFonts w:ascii="Times New Roman" w:hAnsi="Times New Roman" w:cs="Times New Roman"/>
        </w:rPr>
        <w:t>46.</w:t>
      </w:r>
      <w:r w:rsidR="00CC36DE">
        <w:rPr>
          <w:rFonts w:ascii="Times New Roman" w:hAnsi="Times New Roman" w:cs="Times New Roman"/>
        </w:rPr>
        <w:t> </w:t>
      </w:r>
      <w:r w:rsidR="00CC36DE" w:rsidRPr="00B07C82">
        <w:rPr>
          <w:rFonts w:ascii="Times New Roman" w:hAnsi="Times New Roman" w:cs="Times New Roman"/>
        </w:rPr>
        <w:t>lpp</w:t>
      </w:r>
      <w:r w:rsidR="00CC36DE">
        <w:rPr>
          <w:rFonts w:ascii="Times New Roman" w:hAnsi="Times New Roman" w:cs="Times New Roman"/>
        </w:rPr>
        <w:t>.</w:t>
      </w:r>
      <w:r w:rsidRPr="00B07C82">
        <w:rPr>
          <w:rFonts w:ascii="Times New Roman" w:hAnsi="Times New Roman" w:cs="Times New Roman"/>
        </w:rPr>
        <w:t xml:space="preserve"> (</w:t>
      </w:r>
      <w:hyperlink r:id="rId15">
        <w:r w:rsidRPr="00B07C82">
          <w:rPr>
            <w:rFonts w:ascii="Times New Roman" w:hAnsi="Times New Roman" w:cs="Times New Roman"/>
            <w:color w:val="7C477E"/>
            <w:u w:val="single" w:color="7C477E"/>
          </w:rPr>
          <w:t>https://www.iosco</w:t>
        </w:r>
      </w:hyperlink>
      <w:hyperlink r:id="rId16">
        <w:r w:rsidRPr="00B07C82">
          <w:rPr>
            <w:rFonts w:ascii="Times New Roman" w:eastAsia="Times New Roman" w:hAnsi="Times New Roman" w:cs="Times New Roman"/>
            <w:color w:val="7C477E"/>
            <w:u w:val="single" w:color="7C477E"/>
          </w:rPr>
          <w:t>.</w:t>
        </w:r>
      </w:hyperlink>
      <w:hyperlink r:id="rId17">
        <w:r w:rsidRPr="00B07C82">
          <w:rPr>
            <w:rFonts w:ascii="Times New Roman" w:hAnsi="Times New Roman" w:cs="Times New Roman"/>
            <w:color w:val="7C477E"/>
            <w:u w:val="single" w:color="7C477E"/>
          </w:rPr>
          <w:t>org/library/pubdocs/pdf/IOSCOPD550.pdf</w:t>
        </w:r>
      </w:hyperlink>
      <w:hyperlink r:id="rId18">
        <w:r w:rsidRPr="00B07C82">
          <w:rPr>
            <w:rFonts w:ascii="Times New Roman" w:hAnsi="Times New Roman" w:cs="Times New Roman"/>
          </w:rPr>
          <w:t>)</w:t>
        </w:r>
      </w:hyperlink>
      <w:r w:rsidRPr="00B07C82">
        <w:rPr>
          <w:rFonts w:ascii="Times New Roman" w:hAnsi="Times New Roman" w:cs="Times New Roman"/>
        </w:rPr>
        <w:t>.</w:t>
      </w:r>
    </w:p>
  </w:footnote>
  <w:footnote w:id="34">
    <w:p w14:paraId="3DD7754A" w14:textId="2AD22847" w:rsidR="00B07C82" w:rsidRPr="00B07C82" w:rsidRDefault="00B07C82" w:rsidP="00B07C82">
      <w:pPr>
        <w:pStyle w:val="FootnoteText"/>
        <w:spacing w:after="120"/>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86.</w:t>
      </w:r>
      <w:r w:rsidR="001768C9">
        <w:rPr>
          <w:rFonts w:ascii="Times New Roman" w:hAnsi="Times New Roman" w:cs="Times New Roman"/>
        </w:rPr>
        <w:t> </w:t>
      </w:r>
      <w:r w:rsidRPr="00B07C82">
        <w:rPr>
          <w:rFonts w:ascii="Times New Roman" w:hAnsi="Times New Roman" w:cs="Times New Roman"/>
        </w:rPr>
        <w:t>apsvērums.</w:t>
      </w:r>
    </w:p>
  </w:footnote>
  <w:footnote w:id="35">
    <w:p w14:paraId="0DBB6417" w14:textId="58EE075A" w:rsidR="00B07C82" w:rsidRDefault="00B07C82" w:rsidP="00B07C82">
      <w:pPr>
        <w:pStyle w:val="FootnoteText"/>
        <w:spacing w:after="120"/>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 xml:space="preserve">2018. gada 22. maija </w:t>
      </w:r>
      <w:r w:rsidRPr="00B07C82">
        <w:rPr>
          <w:rFonts w:ascii="Times New Roman" w:hAnsi="Times New Roman" w:cs="Times New Roman"/>
        </w:rPr>
        <w:t xml:space="preserve">bināro iespēju līgumu intervences lēmuma </w:t>
      </w:r>
      <w:r w:rsidR="001F0E6F">
        <w:rPr>
          <w:rFonts w:ascii="Times New Roman" w:hAnsi="Times New Roman" w:cs="Times New Roman"/>
        </w:rPr>
        <w:t>39</w:t>
      </w:r>
      <w:r w:rsidRPr="00B07C82">
        <w:rPr>
          <w:rFonts w:ascii="Times New Roman" w:hAnsi="Times New Roman" w:cs="Times New Roman"/>
        </w:rPr>
        <w:t>.</w:t>
      </w:r>
      <w:r w:rsidR="001768C9">
        <w:rPr>
          <w:rFonts w:ascii="Times New Roman" w:hAnsi="Times New Roman" w:cs="Times New Roman"/>
        </w:rPr>
        <w:t> </w:t>
      </w:r>
      <w:r w:rsidRPr="00B07C82">
        <w:rPr>
          <w:rFonts w:ascii="Times New Roman" w:hAnsi="Times New Roman" w:cs="Times New Roman"/>
        </w:rPr>
        <w:t>apsvērums.</w:t>
      </w:r>
    </w:p>
  </w:footnote>
  <w:footnote w:id="36">
    <w:p w14:paraId="68FB6F6A" w14:textId="13AB84EA" w:rsidR="00B07C82" w:rsidRPr="00B07C82" w:rsidRDefault="00B07C82" w:rsidP="00B07C82">
      <w:pPr>
        <w:pStyle w:val="FootnoteText"/>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EVTI </w:t>
      </w:r>
      <w:r w:rsidR="00220999" w:rsidRPr="003007D9">
        <w:rPr>
          <w:rFonts w:ascii="Times New Roman" w:hAnsi="Times New Roman" w:cs="Times New Roman"/>
        </w:rPr>
        <w:t xml:space="preserve">2018. gada 22. maija </w:t>
      </w:r>
      <w:r w:rsidRPr="00B07C82">
        <w:rPr>
          <w:rFonts w:ascii="Times New Roman" w:hAnsi="Times New Roman" w:cs="Times New Roman"/>
        </w:rPr>
        <w:t>bināro iespēju līgumu intervences lēmuma 51.</w:t>
      </w:r>
      <w:r w:rsidR="003757EC">
        <w:rPr>
          <w:rFonts w:ascii="Times New Roman" w:hAnsi="Times New Roman" w:cs="Times New Roman"/>
        </w:rPr>
        <w:t> </w:t>
      </w:r>
      <w:r w:rsidRPr="00B07C82">
        <w:rPr>
          <w:rFonts w:ascii="Times New Roman" w:hAnsi="Times New Roman" w:cs="Times New Roman"/>
        </w:rPr>
        <w:t>apsvērums.</w:t>
      </w:r>
    </w:p>
  </w:footnote>
  <w:footnote w:id="37">
    <w:p w14:paraId="10EE2408" w14:textId="77777777" w:rsidR="00B07C82" w:rsidRPr="00B07C82" w:rsidRDefault="00B07C82" w:rsidP="00B07C82">
      <w:pPr>
        <w:pStyle w:val="FootnoteText"/>
        <w:rPr>
          <w:rFonts w:ascii="Times New Roman" w:hAnsi="Times New Roman" w:cs="Times New Roman"/>
        </w:rPr>
      </w:pPr>
      <w:r w:rsidRPr="00B07C82">
        <w:rPr>
          <w:rStyle w:val="FootnoteReference"/>
          <w:rFonts w:ascii="Times New Roman" w:hAnsi="Times New Roman" w:cs="Times New Roman"/>
        </w:rPr>
        <w:footnoteRef/>
      </w:r>
      <w:r w:rsidRPr="00B07C82">
        <w:rPr>
          <w:rFonts w:ascii="Times New Roman" w:hAnsi="Times New Roman" w:cs="Times New Roman"/>
        </w:rPr>
        <w:t xml:space="preserve"> </w:t>
      </w:r>
      <w:hyperlink r:id="rId19" w:history="1">
        <w:r w:rsidRPr="00B07C82">
          <w:rPr>
            <w:rStyle w:val="Hyperlink"/>
            <w:rFonts w:ascii="Times New Roman" w:hAnsi="Times New Roman" w:cs="Times New Roman"/>
          </w:rPr>
          <w:t>https://www.bank.lv/darbibas-jomas/klientu-aizsardziba/uzmanies-no-krapniekiem/bridinajumi-par-aizdomigiem-finansu-darijumiem/13901-fktk-bridina-par-riskantiem-ieguldijumu-pakalpojumiem-kurus-piedava-pa-talruni-pievienota-ari-informacija-krievu-valoda</w:t>
        </w:r>
      </w:hyperlink>
      <w:r w:rsidRPr="00B07C82">
        <w:rPr>
          <w:rFonts w:ascii="Times New Roman" w:hAnsi="Times New Roman" w:cs="Times New Roman"/>
        </w:rPr>
        <w:t xml:space="preserve"> </w:t>
      </w:r>
    </w:p>
  </w:footnote>
  <w:footnote w:id="38">
    <w:p w14:paraId="508BBBDC" w14:textId="77777777"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color w:val="000000"/>
        </w:rPr>
        <w:t xml:space="preserve"> </w:t>
      </w:r>
      <w:hyperlink r:id="rId20" w:history="1">
        <w:r w:rsidRPr="00843A49">
          <w:rPr>
            <w:rStyle w:val="Hyperlink"/>
            <w:rFonts w:ascii="Times New Roman" w:hAnsi="Times New Roman" w:cs="Times New Roman"/>
          </w:rPr>
          <w:t>EVTI 2018. gada 22. maija lēmums (ES) 2018/796 par cenu starpību līgumu pagaidu ierobežošanu Savienībā saskaņā ar Eiropas Parlamenta un Padomes regulas (ES) Nr. 600/2014 40. pantu</w:t>
        </w:r>
      </w:hyperlink>
      <w:r w:rsidRPr="00843A49">
        <w:rPr>
          <w:rFonts w:ascii="Times New Roman" w:hAnsi="Times New Roman" w:cs="Times New Roman"/>
          <w:color w:val="000000"/>
        </w:rPr>
        <w:t>.</w:t>
      </w:r>
    </w:p>
  </w:footnote>
  <w:footnote w:id="39">
    <w:p w14:paraId="1BB2CB8E" w14:textId="7F68EC1E"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color w:val="000000"/>
        </w:rPr>
        <w:footnoteRef/>
      </w:r>
      <w:r w:rsidRPr="00843A49">
        <w:rPr>
          <w:rFonts w:ascii="Times New Roman" w:hAnsi="Times New Roman" w:cs="Times New Roman"/>
          <w:color w:val="000000"/>
        </w:rPr>
        <w:t xml:space="preserve"> </w:t>
      </w:r>
      <w:hyperlink r:id="rId21" w:history="1">
        <w:r w:rsidRPr="00843A49">
          <w:rPr>
            <w:rStyle w:val="Hyperlink"/>
            <w:rFonts w:ascii="Times New Roman" w:hAnsi="Times New Roman" w:cs="Times New Roman"/>
          </w:rPr>
          <w:t>EVTI 2018. gada 23.</w:t>
        </w:r>
        <w:r w:rsidR="00A61159">
          <w:rPr>
            <w:rStyle w:val="Hyperlink"/>
            <w:rFonts w:ascii="Times New Roman" w:hAnsi="Times New Roman" w:cs="Times New Roman"/>
          </w:rPr>
          <w:t> </w:t>
        </w:r>
        <w:r w:rsidRPr="00843A49">
          <w:rPr>
            <w:rStyle w:val="Hyperlink"/>
            <w:rFonts w:ascii="Times New Roman" w:hAnsi="Times New Roman" w:cs="Times New Roman"/>
          </w:rPr>
          <w:t>oktobra lēmums (ES) 2018/1636 par pagaidu ierobežojuma atjaunošanu un grozīšanu attiecībā uz lēmumu (ES) 2018/796 par cenu starpības līgumu izplatīšanu vai pārdošanu privātajiem klientiem</w:t>
        </w:r>
      </w:hyperlink>
      <w:r w:rsidRPr="00843A49">
        <w:rPr>
          <w:rFonts w:ascii="Times New Roman" w:hAnsi="Times New Roman" w:cs="Times New Roman"/>
          <w:color w:val="000000"/>
        </w:rPr>
        <w:t>.</w:t>
      </w:r>
    </w:p>
  </w:footnote>
  <w:footnote w:id="40">
    <w:p w14:paraId="3537B7E4" w14:textId="77777777"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color w:val="000000"/>
        </w:rPr>
        <w:footnoteRef/>
      </w:r>
      <w:r w:rsidRPr="00843A49">
        <w:rPr>
          <w:rFonts w:ascii="Times New Roman" w:hAnsi="Times New Roman" w:cs="Times New Roman"/>
          <w:color w:val="000000"/>
        </w:rPr>
        <w:t xml:space="preserve"> </w:t>
      </w:r>
      <w:hyperlink r:id="rId22" w:history="1">
        <w:r w:rsidRPr="00843A49">
          <w:rPr>
            <w:rStyle w:val="Hyperlink"/>
            <w:rFonts w:ascii="Times New Roman" w:hAnsi="Times New Roman" w:cs="Times New Roman"/>
          </w:rPr>
          <w:t>EVTI 2019. gada 23. janvāra lēmums (ES) 2019/155, ar ko atjauno pagaidu ierobežojumu par cenu starpības līgumu tirdzniecību, izplatīšanu vai pārdošanu privātajiem klientiem</w:t>
        </w:r>
      </w:hyperlink>
      <w:r w:rsidRPr="00843A49">
        <w:rPr>
          <w:rFonts w:ascii="Times New Roman" w:hAnsi="Times New Roman" w:cs="Times New Roman"/>
          <w:color w:val="000000"/>
        </w:rPr>
        <w:t>.</w:t>
      </w:r>
    </w:p>
  </w:footnote>
  <w:footnote w:id="41">
    <w:p w14:paraId="35966D3C" w14:textId="1EF40E66"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color w:val="000000"/>
        </w:rPr>
        <w:footnoteRef/>
      </w:r>
      <w:r w:rsidRPr="00843A49">
        <w:rPr>
          <w:rFonts w:ascii="Times New Roman" w:hAnsi="Times New Roman" w:cs="Times New Roman"/>
          <w:color w:val="000000"/>
        </w:rPr>
        <w:t xml:space="preserve"> </w:t>
      </w:r>
      <w:hyperlink r:id="rId23" w:history="1">
        <w:r w:rsidRPr="00843A49">
          <w:rPr>
            <w:rStyle w:val="Hyperlink"/>
            <w:rFonts w:ascii="Times New Roman" w:hAnsi="Times New Roman" w:cs="Times New Roman"/>
          </w:rPr>
          <w:t>EVTI 2019. gada 17. aprīļa lēmums (ES)</w:t>
        </w:r>
        <w:r w:rsidR="00A61159">
          <w:rPr>
            <w:rStyle w:val="Hyperlink"/>
            <w:rFonts w:ascii="Times New Roman" w:hAnsi="Times New Roman" w:cs="Times New Roman"/>
          </w:rPr>
          <w:t> </w:t>
        </w:r>
        <w:r w:rsidRPr="00843A49">
          <w:rPr>
            <w:rStyle w:val="Hyperlink"/>
            <w:rFonts w:ascii="Times New Roman" w:hAnsi="Times New Roman" w:cs="Times New Roman"/>
          </w:rPr>
          <w:t>2019/679, ar ko atjauno pagaidu ierobežojumu par cenu starpības līgumu tirdzniecību, izplatīšanu vai pārdošanu privātajiem klientiem</w:t>
        </w:r>
      </w:hyperlink>
      <w:r w:rsidRPr="00843A49">
        <w:rPr>
          <w:rFonts w:ascii="Times New Roman" w:hAnsi="Times New Roman" w:cs="Times New Roman"/>
          <w:color w:val="000000"/>
        </w:rPr>
        <w:t>.</w:t>
      </w:r>
    </w:p>
  </w:footnote>
  <w:footnote w:id="42">
    <w:p w14:paraId="66E9749B" w14:textId="42A08AEA" w:rsidR="00843A49" w:rsidRPr="00A61159" w:rsidRDefault="00843A49" w:rsidP="00046FC6">
      <w:pPr>
        <w:pStyle w:val="FootnoteText"/>
        <w:spacing w:after="120"/>
        <w:jc w:val="both"/>
        <w:rPr>
          <w:rFonts w:ascii="Times New Roman" w:hAnsi="Times New Roman" w:cs="Times New Roman"/>
        </w:rPr>
      </w:pPr>
      <w:r w:rsidRPr="00A61159">
        <w:rPr>
          <w:rStyle w:val="FootnoteReference"/>
          <w:rFonts w:ascii="Times New Roman" w:hAnsi="Times New Roman" w:cs="Times New Roman"/>
        </w:rPr>
        <w:footnoteRef/>
      </w:r>
      <w:r w:rsidRPr="00A61159">
        <w:rPr>
          <w:rFonts w:ascii="Times New Roman" w:hAnsi="Times New Roman" w:cs="Times New Roman"/>
        </w:rPr>
        <w:t xml:space="preserve"> EVTI 2018.</w:t>
      </w:r>
      <w:r w:rsidR="00A87784" w:rsidRPr="00A61159">
        <w:rPr>
          <w:rFonts w:ascii="Times New Roman" w:hAnsi="Times New Roman" w:cs="Times New Roman"/>
        </w:rPr>
        <w:t> </w:t>
      </w:r>
      <w:r w:rsidRPr="00A61159">
        <w:rPr>
          <w:rFonts w:ascii="Times New Roman" w:hAnsi="Times New Roman" w:cs="Times New Roman"/>
        </w:rPr>
        <w:t>gada 1.</w:t>
      </w:r>
      <w:r w:rsidR="00A87784" w:rsidRPr="00A61159">
        <w:rPr>
          <w:rFonts w:ascii="Times New Roman" w:hAnsi="Times New Roman" w:cs="Times New Roman"/>
        </w:rPr>
        <w:t> </w:t>
      </w:r>
      <w:r w:rsidRPr="00A61159">
        <w:rPr>
          <w:rFonts w:ascii="Times New Roman" w:hAnsi="Times New Roman" w:cs="Times New Roman"/>
        </w:rPr>
        <w:t xml:space="preserve">jūnija </w:t>
      </w:r>
      <w:r w:rsidR="0038541F" w:rsidRPr="00A61159">
        <w:rPr>
          <w:rFonts w:ascii="Times New Roman" w:hAnsi="Times New Roman" w:cs="Times New Roman"/>
        </w:rPr>
        <w:t>dokuments Nr.</w:t>
      </w:r>
      <w:r w:rsidR="00A61159" w:rsidRPr="00A61159">
        <w:rPr>
          <w:rFonts w:ascii="Times New Roman" w:hAnsi="Times New Roman" w:cs="Times New Roman"/>
        </w:rPr>
        <w:t> </w:t>
      </w:r>
      <w:r w:rsidR="0038541F" w:rsidRPr="00A61159">
        <w:rPr>
          <w:rFonts w:ascii="Times New Roman" w:hAnsi="Times New Roman" w:cs="Times New Roman"/>
        </w:rPr>
        <w:t xml:space="preserve">ESMA 50-162-215 </w:t>
      </w:r>
      <w:r w:rsidR="00A87784" w:rsidRPr="00A61159">
        <w:rPr>
          <w:rFonts w:ascii="Times New Roman" w:hAnsi="Times New Roman" w:cs="Times New Roman"/>
        </w:rPr>
        <w:t>"</w:t>
      </w:r>
      <w:r w:rsidRPr="00A61159">
        <w:rPr>
          <w:rFonts w:ascii="Times New Roman" w:hAnsi="Times New Roman" w:cs="Times New Roman"/>
        </w:rPr>
        <w:t>Produktu intervences analīze attiecībā uz finanšu līgumiem par starpību</w:t>
      </w:r>
      <w:r w:rsidR="00A87784" w:rsidRPr="00A61159">
        <w:rPr>
          <w:rFonts w:ascii="Times New Roman" w:hAnsi="Times New Roman" w:cs="Times New Roman"/>
        </w:rPr>
        <w:t>"</w:t>
      </w:r>
      <w:r w:rsidR="0038541F" w:rsidRPr="00A61159">
        <w:rPr>
          <w:rFonts w:ascii="Times New Roman" w:hAnsi="Times New Roman" w:cs="Times New Roman"/>
        </w:rPr>
        <w:t xml:space="preserve"> (</w:t>
      </w:r>
      <w:hyperlink r:id="rId24" w:history="1">
        <w:r w:rsidR="00DD1B2D" w:rsidRPr="00A61159">
          <w:rPr>
            <w:rStyle w:val="Hyperlink"/>
            <w:rFonts w:ascii="Times New Roman" w:hAnsi="Times New Roman" w:cs="Times New Roman"/>
          </w:rPr>
          <w:t>https://www.esma.europa.eu/sites/default/files/library/esma50-162-215_product_intervention_analysis_cfds.pdf</w:t>
        </w:r>
      </w:hyperlink>
      <w:r w:rsidR="0038541F" w:rsidRPr="00A61159">
        <w:rPr>
          <w:rFonts w:ascii="Times New Roman" w:hAnsi="Times New Roman" w:cs="Times New Roman"/>
        </w:rPr>
        <w:t>)</w:t>
      </w:r>
      <w:r w:rsidR="00A61159" w:rsidRPr="00A61159">
        <w:rPr>
          <w:rFonts w:ascii="Times New Roman" w:hAnsi="Times New Roman" w:cs="Times New Roman"/>
        </w:rPr>
        <w:t>.</w:t>
      </w:r>
    </w:p>
  </w:footnote>
  <w:footnote w:id="43">
    <w:p w14:paraId="252B4809" w14:textId="20E1E5AA"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Saskaņā ar Finanšu instrumentu tirgu</w:t>
      </w:r>
      <w:r w:rsidR="007F424A">
        <w:rPr>
          <w:rFonts w:ascii="Times New Roman" w:hAnsi="Times New Roman" w:cs="Times New Roman"/>
        </w:rPr>
        <w:t>s</w:t>
      </w:r>
      <w:r w:rsidRPr="00843A49">
        <w:rPr>
          <w:rFonts w:ascii="Times New Roman" w:hAnsi="Times New Roman" w:cs="Times New Roman"/>
        </w:rPr>
        <w:t xml:space="preserve"> likuma 126.</w:t>
      </w:r>
      <w:r w:rsidRPr="00843A49">
        <w:rPr>
          <w:rFonts w:ascii="Times New Roman" w:hAnsi="Times New Roman" w:cs="Times New Roman"/>
          <w:vertAlign w:val="superscript"/>
        </w:rPr>
        <w:t>2</w:t>
      </w:r>
      <w:r w:rsidR="00A87784">
        <w:rPr>
          <w:rFonts w:ascii="Times New Roman" w:hAnsi="Times New Roman" w:cs="Times New Roman"/>
        </w:rPr>
        <w:t> </w:t>
      </w:r>
      <w:r w:rsidRPr="00843A49">
        <w:rPr>
          <w:rFonts w:ascii="Times New Roman" w:hAnsi="Times New Roman" w:cs="Times New Roman"/>
        </w:rPr>
        <w:t>panta divpadsmitās daļas 1.</w:t>
      </w:r>
      <w:r w:rsidR="00A87784">
        <w:rPr>
          <w:rFonts w:ascii="Times New Roman" w:hAnsi="Times New Roman" w:cs="Times New Roman"/>
        </w:rPr>
        <w:t> </w:t>
      </w:r>
      <w:r w:rsidRPr="00843A49">
        <w:rPr>
          <w:rFonts w:ascii="Times New Roman" w:hAnsi="Times New Roman" w:cs="Times New Roman"/>
        </w:rPr>
        <w:t>punktu un Deleģētās regulas Nr.</w:t>
      </w:r>
      <w:r w:rsidR="00A87784">
        <w:rPr>
          <w:rFonts w:ascii="Times New Roman" w:hAnsi="Times New Roman" w:cs="Times New Roman"/>
        </w:rPr>
        <w:t> </w:t>
      </w:r>
      <w:r w:rsidRPr="00843A49">
        <w:rPr>
          <w:rFonts w:ascii="Times New Roman" w:hAnsi="Times New Roman" w:cs="Times New Roman"/>
        </w:rPr>
        <w:t>2017/565 57.</w:t>
      </w:r>
      <w:r w:rsidR="00A87784">
        <w:rPr>
          <w:rFonts w:ascii="Times New Roman" w:hAnsi="Times New Roman" w:cs="Times New Roman"/>
        </w:rPr>
        <w:t> </w:t>
      </w:r>
      <w:r w:rsidRPr="00843A49">
        <w:rPr>
          <w:rFonts w:ascii="Times New Roman" w:hAnsi="Times New Roman" w:cs="Times New Roman"/>
        </w:rPr>
        <w:t xml:space="preserve">pantu finanšu līgumi par starpību neatbilst attiecīgajiem kritērijiem, lai tos uzskatītu </w:t>
      </w:r>
      <w:r w:rsidR="007F424A">
        <w:rPr>
          <w:rFonts w:ascii="Times New Roman" w:hAnsi="Times New Roman" w:cs="Times New Roman"/>
        </w:rPr>
        <w:t xml:space="preserve">par </w:t>
      </w:r>
      <w:r w:rsidRPr="00843A49">
        <w:rPr>
          <w:rFonts w:ascii="Times New Roman" w:hAnsi="Times New Roman" w:cs="Times New Roman"/>
        </w:rPr>
        <w:t>vienkāršiem finanšu instrumentiem.</w:t>
      </w:r>
    </w:p>
  </w:footnote>
  <w:footnote w:id="44">
    <w:p w14:paraId="08774010" w14:textId="62F34F98"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EVTI </w:t>
      </w:r>
      <w:r w:rsidR="001F0785" w:rsidRPr="001F0785">
        <w:rPr>
          <w:rFonts w:ascii="Times New Roman" w:hAnsi="Times New Roman" w:cs="Times New Roman"/>
        </w:rPr>
        <w:t xml:space="preserve">2018. gada 22. maija </w:t>
      </w:r>
      <w:r w:rsidRPr="00843A49">
        <w:rPr>
          <w:rFonts w:ascii="Times New Roman" w:hAnsi="Times New Roman" w:cs="Times New Roman"/>
          <w:szCs w:val="24"/>
        </w:rPr>
        <w:t xml:space="preserve">finanšu līgumu par starpību </w:t>
      </w:r>
      <w:r w:rsidRPr="00843A49">
        <w:rPr>
          <w:rFonts w:ascii="Times New Roman" w:hAnsi="Times New Roman" w:cs="Times New Roman"/>
        </w:rPr>
        <w:t>intervences lēmuma 14.</w:t>
      </w:r>
      <w:r w:rsidR="00C01B9C">
        <w:rPr>
          <w:rFonts w:ascii="Times New Roman" w:hAnsi="Times New Roman" w:cs="Times New Roman"/>
        </w:rPr>
        <w:t xml:space="preserve"> un </w:t>
      </w:r>
      <w:r w:rsidRPr="00843A49">
        <w:rPr>
          <w:rFonts w:ascii="Times New Roman" w:hAnsi="Times New Roman" w:cs="Times New Roman"/>
        </w:rPr>
        <w:t>15.</w:t>
      </w:r>
      <w:r w:rsidR="00A87784">
        <w:rPr>
          <w:rFonts w:ascii="Times New Roman" w:hAnsi="Times New Roman" w:cs="Times New Roman"/>
        </w:rPr>
        <w:t> </w:t>
      </w:r>
      <w:r w:rsidRPr="00843A49">
        <w:rPr>
          <w:rFonts w:ascii="Times New Roman" w:hAnsi="Times New Roman" w:cs="Times New Roman"/>
        </w:rPr>
        <w:t>apsvērums.</w:t>
      </w:r>
    </w:p>
  </w:footnote>
  <w:footnote w:id="45">
    <w:p w14:paraId="61E16187" w14:textId="7789C07E"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w:t>
      </w:r>
      <w:r w:rsidR="00C42C31">
        <w:rPr>
          <w:rFonts w:ascii="Times New Roman" w:hAnsi="Times New Roman" w:cs="Times New Roman"/>
        </w:rPr>
        <w:t>L</w:t>
      </w:r>
      <w:r w:rsidRPr="00843A49">
        <w:rPr>
          <w:rFonts w:ascii="Times New Roman" w:hAnsi="Times New Roman" w:cs="Times New Roman"/>
          <w:szCs w:val="24"/>
        </w:rPr>
        <w:t xml:space="preserve">īgumu par starpību </w:t>
      </w:r>
      <w:r w:rsidR="00C42C31">
        <w:rPr>
          <w:rFonts w:ascii="Times New Roman" w:hAnsi="Times New Roman" w:cs="Times New Roman"/>
          <w:szCs w:val="24"/>
        </w:rPr>
        <w:t xml:space="preserve">pakalpojumu </w:t>
      </w:r>
      <w:r w:rsidRPr="00843A49">
        <w:rPr>
          <w:rFonts w:ascii="Times New Roman" w:hAnsi="Times New Roman" w:cs="Times New Roman"/>
        </w:rPr>
        <w:t>sniedzēja piedāvājumā privātajiem klientiem iekļautā starpība var ietvert tirgus cenu uzcenojumu, k</w:t>
      </w:r>
      <w:r w:rsidR="00C42C31">
        <w:rPr>
          <w:rFonts w:ascii="Times New Roman" w:hAnsi="Times New Roman" w:cs="Times New Roman"/>
        </w:rPr>
        <w:t xml:space="preserve">uru </w:t>
      </w:r>
      <w:r w:rsidRPr="00843A49">
        <w:rPr>
          <w:rFonts w:ascii="Times New Roman" w:hAnsi="Times New Roman" w:cs="Times New Roman"/>
        </w:rPr>
        <w:t>ietur ārējs avots, piemēram, likviditātes nodrošinātājs.</w:t>
      </w:r>
    </w:p>
  </w:footnote>
  <w:footnote w:id="46">
    <w:p w14:paraId="1E676F55" w14:textId="13CB3C73"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Skat</w:t>
      </w:r>
      <w:r w:rsidR="00C42C31">
        <w:rPr>
          <w:rFonts w:ascii="Times New Roman" w:hAnsi="Times New Roman" w:cs="Times New Roman"/>
        </w:rPr>
        <w:t>.</w:t>
      </w:r>
      <w:r w:rsidRPr="00843A49">
        <w:rPr>
          <w:rFonts w:ascii="Times New Roman" w:hAnsi="Times New Roman" w:cs="Times New Roman"/>
        </w:rPr>
        <w:t xml:space="preserve"> arī Deleģētās regulas </w:t>
      </w:r>
      <w:r w:rsidR="00A87784">
        <w:rPr>
          <w:rFonts w:ascii="Times New Roman" w:hAnsi="Times New Roman" w:cs="Times New Roman"/>
        </w:rPr>
        <w:t>Nr. </w:t>
      </w:r>
      <w:r w:rsidRPr="00843A49">
        <w:rPr>
          <w:rFonts w:ascii="Times New Roman" w:hAnsi="Times New Roman" w:cs="Times New Roman"/>
        </w:rPr>
        <w:t>2017/567 19.</w:t>
      </w:r>
      <w:r w:rsidR="00A87784">
        <w:rPr>
          <w:rFonts w:ascii="Times New Roman" w:hAnsi="Times New Roman" w:cs="Times New Roman"/>
        </w:rPr>
        <w:t> </w:t>
      </w:r>
      <w:r w:rsidRPr="00843A49">
        <w:rPr>
          <w:rFonts w:ascii="Times New Roman" w:hAnsi="Times New Roman" w:cs="Times New Roman"/>
        </w:rPr>
        <w:t>panta 2.</w:t>
      </w:r>
      <w:r w:rsidR="00A87784">
        <w:rPr>
          <w:rFonts w:ascii="Times New Roman" w:hAnsi="Times New Roman" w:cs="Times New Roman"/>
        </w:rPr>
        <w:t> </w:t>
      </w:r>
      <w:r w:rsidRPr="00843A49">
        <w:rPr>
          <w:rFonts w:ascii="Times New Roman" w:hAnsi="Times New Roman" w:cs="Times New Roman"/>
        </w:rPr>
        <w:t>punkta d)</w:t>
      </w:r>
      <w:r w:rsidR="00A87784">
        <w:rPr>
          <w:rFonts w:ascii="Times New Roman" w:hAnsi="Times New Roman" w:cs="Times New Roman"/>
        </w:rPr>
        <w:t> </w:t>
      </w:r>
      <w:r w:rsidRPr="00843A49">
        <w:rPr>
          <w:rFonts w:ascii="Times New Roman" w:hAnsi="Times New Roman" w:cs="Times New Roman"/>
        </w:rPr>
        <w:t xml:space="preserve">apakšpunktu, īpaši pēdējo </w:t>
      </w:r>
      <w:r w:rsidR="007F424A" w:rsidRPr="00843A49">
        <w:rPr>
          <w:rFonts w:ascii="Times New Roman" w:hAnsi="Times New Roman" w:cs="Times New Roman"/>
        </w:rPr>
        <w:t>t</w:t>
      </w:r>
      <w:r w:rsidR="007F424A">
        <w:rPr>
          <w:rFonts w:ascii="Times New Roman" w:hAnsi="Times New Roman" w:cs="Times New Roman"/>
        </w:rPr>
        <w:t xml:space="preserve">ajā </w:t>
      </w:r>
      <w:r w:rsidRPr="00843A49">
        <w:rPr>
          <w:rFonts w:ascii="Times New Roman" w:hAnsi="Times New Roman" w:cs="Times New Roman"/>
        </w:rPr>
        <w:t xml:space="preserve">minēto apakšfaktoru, kurā </w:t>
      </w:r>
      <w:r w:rsidRPr="00843A49">
        <w:rPr>
          <w:rFonts w:ascii="Times New Roman" w:hAnsi="Times New Roman" w:cs="Times New Roman"/>
          <w:i/>
          <w:iCs/>
        </w:rPr>
        <w:t>inter alia</w:t>
      </w:r>
      <w:r w:rsidRPr="00843A49">
        <w:rPr>
          <w:rFonts w:ascii="Times New Roman" w:hAnsi="Times New Roman" w:cs="Times New Roman"/>
        </w:rPr>
        <w:t xml:space="preserve"> minēts terminu izmantojums, kas maldina par lielāku drošumu, nekā faktiski iespējams vai ticams.</w:t>
      </w:r>
    </w:p>
  </w:footnote>
  <w:footnote w:id="47">
    <w:p w14:paraId="0126C9F4" w14:textId="77777777" w:rsidR="00843A49" w:rsidRPr="00843A49" w:rsidRDefault="00843A49" w:rsidP="00B1208C">
      <w:pPr>
        <w:pStyle w:val="FootnoteText"/>
        <w:spacing w:after="120"/>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w:t>
      </w:r>
      <w:hyperlink r:id="rId25" w:history="1">
        <w:r w:rsidRPr="00843A49">
          <w:rPr>
            <w:rStyle w:val="Hyperlink"/>
            <w:rFonts w:ascii="Times New Roman" w:hAnsi="Times New Roman" w:cs="Times New Roman"/>
          </w:rPr>
          <w:t>https://www.bank.lv/tiesibu-akti/728-aktualitates/fktk-zinu-arhivs/13938-ieguldijumi-kriptovalutas-iespeja-gan-nopelnit-gan-pazaudet</w:t>
        </w:r>
      </w:hyperlink>
      <w:r w:rsidRPr="00843A49">
        <w:rPr>
          <w:rFonts w:ascii="Times New Roman" w:hAnsi="Times New Roman" w:cs="Times New Roman"/>
        </w:rPr>
        <w:t xml:space="preserve"> </w:t>
      </w:r>
    </w:p>
  </w:footnote>
  <w:footnote w:id="48">
    <w:p w14:paraId="481E4059" w14:textId="1F0EE75A" w:rsidR="00843A49" w:rsidRPr="00843A49" w:rsidRDefault="00843A49" w:rsidP="00B1208C">
      <w:pPr>
        <w:pStyle w:val="FootnoteText"/>
        <w:spacing w:after="120"/>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EVTI </w:t>
      </w:r>
      <w:r w:rsidR="001F0785" w:rsidRPr="001F0785">
        <w:rPr>
          <w:rFonts w:ascii="Times New Roman" w:hAnsi="Times New Roman" w:cs="Times New Roman"/>
        </w:rPr>
        <w:t xml:space="preserve">2018. gada 22. maija </w:t>
      </w:r>
      <w:r w:rsidRPr="00843A49">
        <w:rPr>
          <w:rFonts w:ascii="Times New Roman" w:hAnsi="Times New Roman" w:cs="Times New Roman"/>
        </w:rPr>
        <w:t>finanšu līgumu par starpību intervences lēmuma 16</w:t>
      </w:r>
      <w:r w:rsidR="00A61159">
        <w:rPr>
          <w:rFonts w:ascii="Times New Roman" w:hAnsi="Times New Roman" w:cs="Times New Roman"/>
        </w:rPr>
        <w:t>.–</w:t>
      </w:r>
      <w:r w:rsidRPr="00843A49">
        <w:rPr>
          <w:rFonts w:ascii="Times New Roman" w:hAnsi="Times New Roman" w:cs="Times New Roman"/>
        </w:rPr>
        <w:t>20.</w:t>
      </w:r>
      <w:r w:rsidR="00A87784">
        <w:rPr>
          <w:rFonts w:ascii="Times New Roman" w:hAnsi="Times New Roman" w:cs="Times New Roman"/>
        </w:rPr>
        <w:t> </w:t>
      </w:r>
      <w:r w:rsidRPr="00843A49">
        <w:rPr>
          <w:rFonts w:ascii="Times New Roman" w:hAnsi="Times New Roman" w:cs="Times New Roman"/>
        </w:rPr>
        <w:t>apsvērums.</w:t>
      </w:r>
    </w:p>
  </w:footnote>
  <w:footnote w:id="49">
    <w:p w14:paraId="0ECAC1B0" w14:textId="4B51D7D0" w:rsidR="00843A49" w:rsidRDefault="00843A49" w:rsidP="00B1208C">
      <w:pPr>
        <w:spacing w:after="120" w:line="240" w:lineRule="auto"/>
        <w:jc w:val="both"/>
      </w:pPr>
      <w:r w:rsidRPr="00843A49">
        <w:rPr>
          <w:rStyle w:val="FootnoteReference"/>
          <w:rFonts w:ascii="Times New Roman" w:hAnsi="Times New Roman" w:cs="Times New Roman"/>
          <w:sz w:val="20"/>
          <w:szCs w:val="20"/>
        </w:rPr>
        <w:footnoteRef/>
      </w:r>
      <w:r w:rsidRPr="00843A49">
        <w:rPr>
          <w:rFonts w:ascii="Times New Roman" w:hAnsi="Times New Roman" w:cs="Times New Roman"/>
          <w:sz w:val="20"/>
          <w:szCs w:val="20"/>
        </w:rPr>
        <w:t xml:space="preserve"> UK-FCA ir atzīmējusi sviras finansējuma līmeni 200:1 attiecībā uz mazākām pozīcijām. Turklāt UK-FCA ir arī konstatējusi, ka 200:1 ir tipisks sviras finansējums darījumos ar </w:t>
      </w:r>
      <w:r w:rsidR="00A70864">
        <w:rPr>
          <w:rFonts w:ascii="Times New Roman" w:hAnsi="Times New Roman" w:cs="Times New Roman"/>
          <w:sz w:val="20"/>
          <w:szCs w:val="20"/>
        </w:rPr>
        <w:t>"</w:t>
      </w:r>
      <w:r w:rsidRPr="00843A49">
        <w:rPr>
          <w:rFonts w:ascii="Times New Roman" w:hAnsi="Times New Roman" w:cs="Times New Roman"/>
          <w:sz w:val="20"/>
          <w:szCs w:val="20"/>
        </w:rPr>
        <w:t>galvenajām</w:t>
      </w:r>
      <w:r w:rsidR="00A70864">
        <w:rPr>
          <w:rFonts w:ascii="Times New Roman" w:hAnsi="Times New Roman" w:cs="Times New Roman"/>
          <w:sz w:val="20"/>
          <w:szCs w:val="20"/>
        </w:rPr>
        <w:t>"</w:t>
      </w:r>
      <w:r w:rsidRPr="00843A49">
        <w:rPr>
          <w:rFonts w:ascii="Times New Roman" w:hAnsi="Times New Roman" w:cs="Times New Roman"/>
          <w:sz w:val="20"/>
          <w:szCs w:val="20"/>
        </w:rPr>
        <w:t xml:space="preserve"> valūtām, bet 500:1 un reizēm lielāku sviras finansējuma līmeni </w:t>
      </w:r>
      <w:r w:rsidRPr="004370B3">
        <w:rPr>
          <w:rFonts w:ascii="Times New Roman" w:hAnsi="Times New Roman" w:cs="Times New Roman"/>
          <w:sz w:val="20"/>
          <w:szCs w:val="20"/>
        </w:rPr>
        <w:t>piedāvā tie produktu sniedzēji</w:t>
      </w:r>
      <w:r w:rsidRPr="00843A49">
        <w:rPr>
          <w:rFonts w:ascii="Times New Roman" w:hAnsi="Times New Roman" w:cs="Times New Roman"/>
          <w:sz w:val="20"/>
          <w:szCs w:val="20"/>
        </w:rPr>
        <w:t>, kuru mērķauditorija ir mazāka apjoma darījumu privātie klienti. FR-AMF ir konstatējusi sviras finansējuma līmeni līdz 400:1 valūt</w:t>
      </w:r>
      <w:r w:rsidR="00A70864">
        <w:rPr>
          <w:rFonts w:ascii="Times New Roman" w:hAnsi="Times New Roman" w:cs="Times New Roman"/>
          <w:sz w:val="20"/>
          <w:szCs w:val="20"/>
        </w:rPr>
        <w:t>u</w:t>
      </w:r>
      <w:r w:rsidRPr="00843A49">
        <w:rPr>
          <w:rFonts w:ascii="Times New Roman" w:hAnsi="Times New Roman" w:cs="Times New Roman"/>
          <w:sz w:val="20"/>
          <w:szCs w:val="20"/>
        </w:rPr>
        <w:t xml:space="preserve"> pāriem, kuriem ir vislielākā likviditāte. Īrijas Centrālā bank</w:t>
      </w:r>
      <w:r w:rsidR="00A70864">
        <w:rPr>
          <w:rFonts w:ascii="Times New Roman" w:hAnsi="Times New Roman" w:cs="Times New Roman"/>
          <w:sz w:val="20"/>
          <w:szCs w:val="20"/>
        </w:rPr>
        <w:t>a</w:t>
      </w:r>
      <w:r w:rsidRPr="00843A49">
        <w:rPr>
          <w:rFonts w:ascii="Times New Roman" w:hAnsi="Times New Roman" w:cs="Times New Roman"/>
          <w:sz w:val="20"/>
          <w:szCs w:val="20"/>
        </w:rPr>
        <w:t xml:space="preserve"> ir konstatējusi sviras finansējuma līmeni līdz 400:1. Vācijas </w:t>
      </w:r>
      <w:r w:rsidR="00A70864" w:rsidRPr="00A70864">
        <w:rPr>
          <w:rFonts w:ascii="Times New Roman" w:hAnsi="Times New Roman" w:cs="Times New Roman"/>
          <w:sz w:val="20"/>
          <w:szCs w:val="20"/>
        </w:rPr>
        <w:t>Federālā finanšu uzraudzības iestāde</w:t>
      </w:r>
      <w:r w:rsidRPr="00843A49">
        <w:rPr>
          <w:rFonts w:ascii="Times New Roman" w:hAnsi="Times New Roman" w:cs="Times New Roman"/>
          <w:sz w:val="20"/>
          <w:szCs w:val="20"/>
        </w:rPr>
        <w:t xml:space="preserve"> ir uzsvērusi kādu konkrētu gadījumu Vācijā, kad ieguldījumu sabiedrība piedāvājusi sviras finansējumu 400:1 bez papildu nodrošinājuma pieprasījuma. IT-CONSOB un Bulgārijas </w:t>
      </w:r>
      <w:r w:rsidR="00A70864" w:rsidRPr="00A70864">
        <w:rPr>
          <w:rFonts w:ascii="Times New Roman" w:hAnsi="Times New Roman" w:cs="Times New Roman"/>
          <w:sz w:val="20"/>
          <w:szCs w:val="20"/>
        </w:rPr>
        <w:t xml:space="preserve">Finanšu uzraudzības komisija </w:t>
      </w:r>
      <w:r w:rsidRPr="00843A49">
        <w:rPr>
          <w:rFonts w:ascii="Times New Roman" w:hAnsi="Times New Roman" w:cs="Times New Roman"/>
          <w:sz w:val="20"/>
          <w:szCs w:val="20"/>
        </w:rPr>
        <w:t>ir konstatējušas sviras finansējuma līmeni līdz 500:1.</w:t>
      </w:r>
    </w:p>
  </w:footnote>
  <w:footnote w:id="50">
    <w:p w14:paraId="13753DAE" w14:textId="17D4C088" w:rsidR="00843A49" w:rsidRPr="00843A49" w:rsidRDefault="00843A49" w:rsidP="00B1208C">
      <w:pPr>
        <w:pStyle w:val="FootnoteText"/>
        <w:spacing w:after="120"/>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EVTI </w:t>
      </w:r>
      <w:r w:rsidR="001F0785" w:rsidRPr="001F0785">
        <w:rPr>
          <w:rFonts w:ascii="Times New Roman" w:hAnsi="Times New Roman" w:cs="Times New Roman"/>
        </w:rPr>
        <w:t xml:space="preserve">2018. gada 22. maija </w:t>
      </w:r>
      <w:r w:rsidRPr="00843A49">
        <w:rPr>
          <w:rFonts w:ascii="Times New Roman" w:hAnsi="Times New Roman" w:cs="Times New Roman"/>
          <w:szCs w:val="24"/>
        </w:rPr>
        <w:t xml:space="preserve">finanšu līgumu par starpību </w:t>
      </w:r>
      <w:r w:rsidRPr="00843A49">
        <w:rPr>
          <w:rFonts w:ascii="Times New Roman" w:hAnsi="Times New Roman" w:cs="Times New Roman"/>
        </w:rPr>
        <w:t>intervences lēmuma 21.</w:t>
      </w:r>
      <w:r w:rsidR="00A61159">
        <w:rPr>
          <w:rFonts w:ascii="Times New Roman" w:hAnsi="Times New Roman" w:cs="Times New Roman"/>
        </w:rPr>
        <w:t>–</w:t>
      </w:r>
      <w:r w:rsidRPr="00843A49">
        <w:rPr>
          <w:rFonts w:ascii="Times New Roman" w:hAnsi="Times New Roman" w:cs="Times New Roman"/>
        </w:rPr>
        <w:t>23.</w:t>
      </w:r>
      <w:r w:rsidR="00A87784">
        <w:rPr>
          <w:rFonts w:ascii="Times New Roman" w:hAnsi="Times New Roman" w:cs="Times New Roman"/>
        </w:rPr>
        <w:t> </w:t>
      </w:r>
      <w:r w:rsidRPr="00843A49">
        <w:rPr>
          <w:rFonts w:ascii="Times New Roman" w:hAnsi="Times New Roman" w:cs="Times New Roman"/>
        </w:rPr>
        <w:t>apsvērums.</w:t>
      </w:r>
    </w:p>
  </w:footnote>
  <w:footnote w:id="51">
    <w:p w14:paraId="13CBED4B" w14:textId="698B1D3F" w:rsidR="00843A49" w:rsidRDefault="00843A49" w:rsidP="00843A49">
      <w:pPr>
        <w:pStyle w:val="FootnoteText"/>
        <w:spacing w:after="120"/>
      </w:pPr>
      <w:r w:rsidRPr="00843A49">
        <w:rPr>
          <w:rStyle w:val="FootnoteReference"/>
          <w:rFonts w:ascii="Times New Roman" w:hAnsi="Times New Roman" w:cs="Times New Roman"/>
        </w:rPr>
        <w:footnoteRef/>
      </w:r>
      <w:r w:rsidRPr="00843A49">
        <w:rPr>
          <w:rFonts w:ascii="Times New Roman" w:hAnsi="Times New Roman" w:cs="Times New Roman"/>
        </w:rPr>
        <w:t xml:space="preserve"> EVTI </w:t>
      </w:r>
      <w:r w:rsidR="001F0785" w:rsidRPr="001F0785">
        <w:rPr>
          <w:rFonts w:ascii="Times New Roman" w:hAnsi="Times New Roman" w:cs="Times New Roman"/>
        </w:rPr>
        <w:t xml:space="preserve">2018. gada 22. maija </w:t>
      </w:r>
      <w:r w:rsidRPr="00843A49">
        <w:rPr>
          <w:rFonts w:ascii="Times New Roman" w:hAnsi="Times New Roman" w:cs="Times New Roman"/>
          <w:szCs w:val="24"/>
        </w:rPr>
        <w:t xml:space="preserve">finanšu līgumu par starpību </w:t>
      </w:r>
      <w:r w:rsidRPr="00843A49">
        <w:rPr>
          <w:rFonts w:ascii="Times New Roman" w:hAnsi="Times New Roman" w:cs="Times New Roman"/>
        </w:rPr>
        <w:t>intervences lēmuma 26.</w:t>
      </w:r>
      <w:r w:rsidR="00A87784">
        <w:rPr>
          <w:rFonts w:ascii="Times New Roman" w:hAnsi="Times New Roman" w:cs="Times New Roman"/>
        </w:rPr>
        <w:t> </w:t>
      </w:r>
      <w:r w:rsidRPr="00843A49">
        <w:rPr>
          <w:rFonts w:ascii="Times New Roman" w:hAnsi="Times New Roman" w:cs="Times New Roman"/>
        </w:rPr>
        <w:t>apsvērums.</w:t>
      </w:r>
    </w:p>
  </w:footnote>
  <w:footnote w:id="52">
    <w:p w14:paraId="115B08C0" w14:textId="76B44FC3" w:rsidR="00843A49" w:rsidRPr="00843A49" w:rsidRDefault="00843A49" w:rsidP="00843A49">
      <w:pPr>
        <w:spacing w:after="120" w:line="240" w:lineRule="auto"/>
        <w:rPr>
          <w:rFonts w:ascii="Times New Roman" w:hAnsi="Times New Roman" w:cs="Times New Roman"/>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 xml:space="preserve">EVTI </w:t>
      </w:r>
      <w:r w:rsidR="001F0785" w:rsidRPr="001F0785">
        <w:rPr>
          <w:rFonts w:ascii="Times New Roman" w:hAnsi="Times New Roman" w:cs="Times New Roman"/>
          <w:sz w:val="20"/>
          <w:szCs w:val="20"/>
        </w:rPr>
        <w:t xml:space="preserve">2018. gada 22. maija </w:t>
      </w:r>
      <w:r w:rsidRPr="00843A49">
        <w:rPr>
          <w:rFonts w:ascii="Times New Roman" w:hAnsi="Times New Roman" w:cs="Times New Roman"/>
          <w:sz w:val="20"/>
          <w:szCs w:val="20"/>
        </w:rPr>
        <w:t>finanšu līgumu par starpību intervences lēmuma 27.</w:t>
      </w:r>
      <w:r w:rsidR="00A61159">
        <w:rPr>
          <w:rFonts w:ascii="Times New Roman" w:hAnsi="Times New Roman" w:cs="Times New Roman"/>
          <w:sz w:val="20"/>
          <w:szCs w:val="20"/>
        </w:rPr>
        <w:t>–</w:t>
      </w:r>
      <w:r w:rsidRPr="00843A49">
        <w:rPr>
          <w:rFonts w:ascii="Times New Roman" w:hAnsi="Times New Roman" w:cs="Times New Roman"/>
          <w:sz w:val="20"/>
          <w:szCs w:val="20"/>
        </w:rPr>
        <w:t>29.</w:t>
      </w:r>
      <w:r w:rsidR="00A87784">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 w:id="53">
    <w:p w14:paraId="6C6B718F" w14:textId="55DFA1D1" w:rsidR="00843A49" w:rsidRPr="002560D3" w:rsidRDefault="00843A49" w:rsidP="00843A49">
      <w:pPr>
        <w:spacing w:after="120" w:line="240" w:lineRule="auto"/>
        <w:rPr>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 xml:space="preserve">EVTI </w:t>
      </w:r>
      <w:r w:rsidR="001F0785" w:rsidRPr="001F0785">
        <w:rPr>
          <w:rFonts w:ascii="Times New Roman" w:hAnsi="Times New Roman" w:cs="Times New Roman"/>
          <w:sz w:val="20"/>
          <w:szCs w:val="20"/>
        </w:rPr>
        <w:t xml:space="preserve">2018. gada 22. maija </w:t>
      </w:r>
      <w:r w:rsidRPr="00843A49">
        <w:rPr>
          <w:rFonts w:ascii="Times New Roman" w:hAnsi="Times New Roman" w:cs="Times New Roman"/>
          <w:sz w:val="20"/>
          <w:szCs w:val="20"/>
        </w:rPr>
        <w:t>finanšu līgumu par starpību intervences lēmuma 35.</w:t>
      </w:r>
      <w:r w:rsidR="00A87784">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 w:id="54">
    <w:p w14:paraId="70F0638C" w14:textId="07ED4C2E" w:rsidR="00843A49" w:rsidRPr="00843A49" w:rsidRDefault="00843A49" w:rsidP="00843A49">
      <w:pPr>
        <w:rPr>
          <w:rFonts w:ascii="Times New Roman" w:hAnsi="Times New Roman" w:cs="Times New Roman"/>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EVTI</w:t>
      </w:r>
      <w:r w:rsidR="001F0785">
        <w:rPr>
          <w:rFonts w:ascii="Times New Roman" w:hAnsi="Times New Roman" w:cs="Times New Roman"/>
          <w:sz w:val="20"/>
          <w:szCs w:val="20"/>
        </w:rPr>
        <w:t xml:space="preserve"> </w:t>
      </w:r>
      <w:r w:rsidR="001F0785" w:rsidRPr="001F0785">
        <w:rPr>
          <w:rFonts w:ascii="Times New Roman" w:hAnsi="Times New Roman" w:cs="Times New Roman"/>
          <w:sz w:val="20"/>
          <w:szCs w:val="20"/>
        </w:rPr>
        <w:t>2018. gada 22. maija</w:t>
      </w:r>
      <w:r w:rsidRPr="00843A49">
        <w:rPr>
          <w:rFonts w:ascii="Times New Roman" w:hAnsi="Times New Roman" w:cs="Times New Roman"/>
          <w:sz w:val="20"/>
          <w:szCs w:val="20"/>
        </w:rPr>
        <w:t xml:space="preserve"> finanšu līgumu par starpību intervences lēmuma 36.</w:t>
      </w:r>
      <w:r w:rsidR="007E6E7B">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 w:id="55">
    <w:p w14:paraId="5127E194" w14:textId="03B1BEE4" w:rsidR="00843A49" w:rsidRPr="00843A49" w:rsidRDefault="00843A49" w:rsidP="00843A49">
      <w:pPr>
        <w:spacing w:after="120" w:line="240" w:lineRule="auto"/>
        <w:jc w:val="both"/>
        <w:rPr>
          <w:rFonts w:ascii="Times New Roman" w:hAnsi="Times New Roman" w:cs="Times New Roman"/>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M</w:t>
      </w:r>
      <w:r w:rsidR="00FC5E08">
        <w:rPr>
          <w:rFonts w:ascii="Times New Roman" w:hAnsi="Times New Roman" w:cs="Times New Roman"/>
          <w:sz w:val="20"/>
          <w:szCs w:val="20"/>
        </w:rPr>
        <w:t>al</w:t>
      </w:r>
      <w:r w:rsidR="00FC5E08" w:rsidRPr="00843A49">
        <w:rPr>
          <w:rFonts w:ascii="Times New Roman" w:hAnsi="Times New Roman" w:cs="Times New Roman"/>
          <w:sz w:val="20"/>
          <w:szCs w:val="20"/>
        </w:rPr>
        <w:t>t</w:t>
      </w:r>
      <w:r w:rsidR="00FC5E08">
        <w:rPr>
          <w:rFonts w:ascii="Times New Roman" w:hAnsi="Times New Roman" w:cs="Times New Roman"/>
          <w:sz w:val="20"/>
          <w:szCs w:val="20"/>
        </w:rPr>
        <w:t>as</w:t>
      </w:r>
      <w:r w:rsidR="00276BB3">
        <w:rPr>
          <w:rFonts w:ascii="Times New Roman" w:hAnsi="Times New Roman" w:cs="Times New Roman"/>
          <w:sz w:val="20"/>
          <w:szCs w:val="20"/>
        </w:rPr>
        <w:t xml:space="preserve"> </w:t>
      </w:r>
      <w:r w:rsidR="00253A9E" w:rsidRPr="00276BB3">
        <w:rPr>
          <w:rFonts w:ascii="Times New Roman" w:hAnsi="Times New Roman" w:cs="Times New Roman"/>
          <w:sz w:val="20"/>
          <w:szCs w:val="20"/>
        </w:rPr>
        <w:t xml:space="preserve">Finanšu </w:t>
      </w:r>
      <w:r w:rsidR="00276BB3" w:rsidRPr="00276BB3">
        <w:rPr>
          <w:rFonts w:ascii="Times New Roman" w:hAnsi="Times New Roman" w:cs="Times New Roman"/>
          <w:sz w:val="20"/>
          <w:szCs w:val="20"/>
        </w:rPr>
        <w:t>pakalpojumu iestāde</w:t>
      </w:r>
      <w:r w:rsidR="00276BB3" w:rsidRPr="00276BB3" w:rsidDel="00276BB3">
        <w:rPr>
          <w:rFonts w:ascii="Times New Roman" w:hAnsi="Times New Roman" w:cs="Times New Roman"/>
          <w:sz w:val="20"/>
          <w:szCs w:val="20"/>
        </w:rPr>
        <w:t xml:space="preserve"> </w:t>
      </w:r>
      <w:r w:rsidRPr="00843A49">
        <w:rPr>
          <w:rFonts w:ascii="Times New Roman" w:hAnsi="Times New Roman" w:cs="Times New Roman"/>
          <w:sz w:val="20"/>
          <w:szCs w:val="20"/>
        </w:rPr>
        <w:t>veica pētījumu par finanšu līgumiem par starpību un pārnesamu valūtas tirdzniecības līgumu piedāvājumu privātajiem klientiem.</w:t>
      </w:r>
    </w:p>
  </w:footnote>
  <w:footnote w:id="56">
    <w:p w14:paraId="0205BE04" w14:textId="76DAC8D0" w:rsidR="00843A49" w:rsidRPr="002560D3" w:rsidRDefault="00843A49" w:rsidP="00843A49">
      <w:pPr>
        <w:spacing w:after="120" w:line="240" w:lineRule="auto"/>
        <w:rPr>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 xml:space="preserve">EVTI </w:t>
      </w:r>
      <w:r w:rsidR="001F0785" w:rsidRPr="001F0785">
        <w:rPr>
          <w:rFonts w:ascii="Times New Roman" w:hAnsi="Times New Roman" w:cs="Times New Roman"/>
          <w:sz w:val="20"/>
          <w:szCs w:val="20"/>
        </w:rPr>
        <w:t xml:space="preserve">2018. gada 22. maija </w:t>
      </w:r>
      <w:r w:rsidRPr="00843A49">
        <w:rPr>
          <w:rFonts w:ascii="Times New Roman" w:hAnsi="Times New Roman" w:cs="Times New Roman"/>
          <w:sz w:val="20"/>
          <w:szCs w:val="20"/>
        </w:rPr>
        <w:t>finanšu līgumu par starpību intervences lēmuma 41.</w:t>
      </w:r>
      <w:r w:rsidR="00EF3B17">
        <w:rPr>
          <w:rFonts w:ascii="Times New Roman" w:hAnsi="Times New Roman" w:cs="Times New Roman"/>
          <w:sz w:val="20"/>
          <w:szCs w:val="20"/>
        </w:rPr>
        <w:t xml:space="preserve"> un </w:t>
      </w:r>
      <w:r w:rsidRPr="00843A49">
        <w:rPr>
          <w:rFonts w:ascii="Times New Roman" w:hAnsi="Times New Roman" w:cs="Times New Roman"/>
          <w:sz w:val="20"/>
          <w:szCs w:val="20"/>
        </w:rPr>
        <w:t>42.</w:t>
      </w:r>
      <w:r w:rsidR="007E6E7B">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 w:id="57">
    <w:p w14:paraId="31574B5D" w14:textId="06FA4A96" w:rsidR="00843A49" w:rsidRPr="00FC5E08" w:rsidRDefault="00843A49" w:rsidP="00DD1B2D">
      <w:pPr>
        <w:pStyle w:val="FootnoteText"/>
        <w:spacing w:after="120"/>
        <w:jc w:val="both"/>
        <w:rPr>
          <w:rFonts w:ascii="Times New Roman" w:hAnsi="Times New Roman" w:cs="Times New Roman"/>
        </w:rPr>
      </w:pPr>
      <w:r w:rsidRPr="00FC5E08">
        <w:rPr>
          <w:rStyle w:val="FootnoteReference"/>
          <w:rFonts w:ascii="Times New Roman" w:hAnsi="Times New Roman" w:cs="Times New Roman"/>
        </w:rPr>
        <w:footnoteRef/>
      </w:r>
      <w:r w:rsidRPr="00FC5E08">
        <w:rPr>
          <w:rFonts w:ascii="Times New Roman" w:hAnsi="Times New Roman" w:cs="Times New Roman"/>
        </w:rPr>
        <w:t xml:space="preserve"> Jautājumi un atbildes attiecībā uz līgumu par starpību un citu spekulatīvo produktu sniegšanu privātajiem ieguldītājiem saskaņā ar </w:t>
      </w:r>
      <w:bookmarkStart w:id="17" w:name="_Hlk175046876"/>
      <w:r w:rsidR="00FC5E08" w:rsidRPr="00FC5E08">
        <w:rPr>
          <w:rFonts w:ascii="Times New Roman" w:hAnsi="Times New Roman" w:cs="Times New Roman"/>
        </w:rPr>
        <w:t>Direktīv</w:t>
      </w:r>
      <w:r w:rsidR="00FC5E08">
        <w:rPr>
          <w:rFonts w:ascii="Times New Roman" w:hAnsi="Times New Roman" w:cs="Times New Roman"/>
        </w:rPr>
        <w:t>u Nr.</w:t>
      </w:r>
      <w:r w:rsidR="003101ED">
        <w:rPr>
          <w:rFonts w:ascii="Times New Roman" w:hAnsi="Times New Roman" w:cs="Times New Roman"/>
        </w:rPr>
        <w:t> </w:t>
      </w:r>
      <w:r w:rsidR="00FC5E08" w:rsidRPr="00FC5E08">
        <w:rPr>
          <w:rFonts w:ascii="Times New Roman" w:hAnsi="Times New Roman" w:cs="Times New Roman"/>
        </w:rPr>
        <w:t xml:space="preserve">2014/65/ES par finanšu instrumentu tirgiem </w:t>
      </w:r>
      <w:bookmarkEnd w:id="17"/>
      <w:r w:rsidRPr="00FC5E08">
        <w:rPr>
          <w:rFonts w:ascii="Times New Roman" w:hAnsi="Times New Roman" w:cs="Times New Roman"/>
        </w:rPr>
        <w:t>(ESMA-35-36-794), informācija atjaunināta 2017.</w:t>
      </w:r>
      <w:r w:rsidR="007E6E7B" w:rsidRPr="00FC5E08">
        <w:rPr>
          <w:rFonts w:ascii="Times New Roman" w:hAnsi="Times New Roman" w:cs="Times New Roman"/>
        </w:rPr>
        <w:t> </w:t>
      </w:r>
      <w:r w:rsidRPr="00FC5E08">
        <w:rPr>
          <w:rFonts w:ascii="Times New Roman" w:hAnsi="Times New Roman" w:cs="Times New Roman"/>
        </w:rPr>
        <w:t>gada 31.</w:t>
      </w:r>
      <w:r w:rsidR="007E6E7B" w:rsidRPr="00FC5E08">
        <w:rPr>
          <w:rFonts w:ascii="Times New Roman" w:hAnsi="Times New Roman" w:cs="Times New Roman"/>
        </w:rPr>
        <w:t> </w:t>
      </w:r>
      <w:r w:rsidRPr="00FC5E08">
        <w:rPr>
          <w:rFonts w:ascii="Times New Roman" w:hAnsi="Times New Roman" w:cs="Times New Roman"/>
        </w:rPr>
        <w:t>martā.</w:t>
      </w:r>
    </w:p>
  </w:footnote>
  <w:footnote w:id="58">
    <w:p w14:paraId="7CF2F332" w14:textId="592A5C21" w:rsidR="00843A49" w:rsidRPr="002560D3" w:rsidRDefault="00843A49" w:rsidP="00843A49">
      <w:pPr>
        <w:spacing w:after="120" w:line="240" w:lineRule="auto"/>
        <w:rPr>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 xml:space="preserve">EVTI </w:t>
      </w:r>
      <w:r w:rsidR="001F0785" w:rsidRPr="001F0785">
        <w:rPr>
          <w:rFonts w:ascii="Times New Roman" w:hAnsi="Times New Roman" w:cs="Times New Roman"/>
          <w:sz w:val="20"/>
          <w:szCs w:val="20"/>
        </w:rPr>
        <w:t xml:space="preserve">2018. gada 22. maija </w:t>
      </w:r>
      <w:r w:rsidRPr="00843A49">
        <w:rPr>
          <w:rFonts w:ascii="Times New Roman" w:hAnsi="Times New Roman" w:cs="Times New Roman"/>
          <w:sz w:val="20"/>
          <w:szCs w:val="20"/>
        </w:rPr>
        <w:t>finanšu līgumu par starpību intervences lēmuma 44.</w:t>
      </w:r>
      <w:r w:rsidR="009E7F1C">
        <w:rPr>
          <w:rFonts w:ascii="Times New Roman" w:hAnsi="Times New Roman" w:cs="Times New Roman"/>
          <w:sz w:val="20"/>
          <w:szCs w:val="20"/>
        </w:rPr>
        <w:t>–</w:t>
      </w:r>
      <w:r w:rsidRPr="00843A49">
        <w:rPr>
          <w:rFonts w:ascii="Times New Roman" w:hAnsi="Times New Roman" w:cs="Times New Roman"/>
          <w:sz w:val="20"/>
          <w:szCs w:val="20"/>
        </w:rPr>
        <w:t>49.</w:t>
      </w:r>
      <w:r w:rsidR="009E7F1C">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 w:id="59">
    <w:p w14:paraId="0F68AFCA" w14:textId="4256C6E1" w:rsidR="00843A49" w:rsidRPr="00843A49" w:rsidRDefault="00843A49" w:rsidP="00843A49">
      <w:pPr>
        <w:rPr>
          <w:rFonts w:ascii="Times New Roman" w:hAnsi="Times New Roman" w:cs="Times New Roman"/>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r w:rsidRPr="00843A49">
        <w:rPr>
          <w:rFonts w:ascii="Times New Roman" w:hAnsi="Times New Roman" w:cs="Times New Roman"/>
          <w:sz w:val="20"/>
          <w:szCs w:val="20"/>
        </w:rPr>
        <w:t xml:space="preserve">EVTI </w:t>
      </w:r>
      <w:r w:rsidR="001F0785" w:rsidRPr="001F0785">
        <w:rPr>
          <w:rFonts w:ascii="Times New Roman" w:hAnsi="Times New Roman" w:cs="Times New Roman"/>
          <w:sz w:val="20"/>
          <w:szCs w:val="20"/>
        </w:rPr>
        <w:t xml:space="preserve">2018. gada 22. maija </w:t>
      </w:r>
      <w:r w:rsidRPr="00843A49">
        <w:rPr>
          <w:rFonts w:ascii="Times New Roman" w:hAnsi="Times New Roman" w:cs="Times New Roman"/>
          <w:sz w:val="20"/>
          <w:szCs w:val="20"/>
        </w:rPr>
        <w:t>finanšu līgumu par starpību intervences lēmuma 50.</w:t>
      </w:r>
      <w:r w:rsidR="00EF3B17">
        <w:rPr>
          <w:rFonts w:ascii="Times New Roman" w:hAnsi="Times New Roman" w:cs="Times New Roman"/>
          <w:sz w:val="20"/>
          <w:szCs w:val="20"/>
        </w:rPr>
        <w:t xml:space="preserve"> un </w:t>
      </w:r>
      <w:r w:rsidRPr="00843A49">
        <w:rPr>
          <w:rFonts w:ascii="Times New Roman" w:hAnsi="Times New Roman" w:cs="Times New Roman"/>
          <w:sz w:val="20"/>
          <w:szCs w:val="20"/>
        </w:rPr>
        <w:t>51.</w:t>
      </w:r>
      <w:r w:rsidR="005F593D">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 w:id="60">
    <w:p w14:paraId="3E2C9E24" w14:textId="2AA12B4E"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EVTI </w:t>
      </w:r>
      <w:r w:rsidR="00F00F14">
        <w:rPr>
          <w:rFonts w:ascii="Times New Roman" w:hAnsi="Times New Roman" w:cs="Times New Roman"/>
        </w:rPr>
        <w:t>j</w:t>
      </w:r>
      <w:r w:rsidRPr="00843A49">
        <w:rPr>
          <w:rFonts w:ascii="Times New Roman" w:hAnsi="Times New Roman" w:cs="Times New Roman"/>
        </w:rPr>
        <w:t>autājumi un atbildes saistībā ar līgumu par starpīb</w:t>
      </w:r>
      <w:r w:rsidR="00F00F14">
        <w:rPr>
          <w:rFonts w:ascii="Times New Roman" w:hAnsi="Times New Roman" w:cs="Times New Roman"/>
        </w:rPr>
        <w:t>u</w:t>
      </w:r>
      <w:r w:rsidRPr="00843A49">
        <w:rPr>
          <w:rFonts w:ascii="Times New Roman" w:hAnsi="Times New Roman" w:cs="Times New Roman"/>
        </w:rPr>
        <w:t xml:space="preserve"> un citu spekulatīvu produktu nodrošināšanu privātajiem ieguldītā</w:t>
      </w:r>
      <w:r w:rsidR="00F00F14">
        <w:rPr>
          <w:rFonts w:ascii="Times New Roman" w:hAnsi="Times New Roman" w:cs="Times New Roman"/>
        </w:rPr>
        <w:t>jiem</w:t>
      </w:r>
      <w:r w:rsidRPr="00843A49">
        <w:rPr>
          <w:rFonts w:ascii="Times New Roman" w:hAnsi="Times New Roman" w:cs="Times New Roman"/>
        </w:rPr>
        <w:t xml:space="preserve"> atbilstīgi Finanšu instrumentu tirgu direktīvai (ESMA35-36-794), kas atjaunināti 2017.</w:t>
      </w:r>
      <w:r w:rsidR="002308A0">
        <w:rPr>
          <w:rFonts w:ascii="Times New Roman" w:hAnsi="Times New Roman" w:cs="Times New Roman"/>
        </w:rPr>
        <w:t> </w:t>
      </w:r>
      <w:r w:rsidRPr="00843A49">
        <w:rPr>
          <w:rFonts w:ascii="Times New Roman" w:hAnsi="Times New Roman" w:cs="Times New Roman"/>
        </w:rPr>
        <w:t>gada 31.</w:t>
      </w:r>
      <w:r w:rsidR="002308A0">
        <w:rPr>
          <w:rFonts w:ascii="Times New Roman" w:hAnsi="Times New Roman" w:cs="Times New Roman"/>
        </w:rPr>
        <w:t> </w:t>
      </w:r>
      <w:r w:rsidRPr="00843A49">
        <w:rPr>
          <w:rFonts w:ascii="Times New Roman" w:hAnsi="Times New Roman" w:cs="Times New Roman"/>
        </w:rPr>
        <w:t>martā.</w:t>
      </w:r>
    </w:p>
  </w:footnote>
  <w:footnote w:id="61">
    <w:p w14:paraId="50BBA90A" w14:textId="55DCF89F" w:rsidR="00843A49" w:rsidRPr="00843A49" w:rsidRDefault="00843A49" w:rsidP="00843A49">
      <w:pPr>
        <w:pStyle w:val="FootnoteText"/>
        <w:spacing w:after="120"/>
        <w:jc w:val="both"/>
        <w:rPr>
          <w:rFonts w:ascii="Times New Roman" w:hAnsi="Times New Roman" w:cs="Times New Roman"/>
        </w:rPr>
      </w:pPr>
      <w:r w:rsidRPr="00843A49">
        <w:rPr>
          <w:rStyle w:val="FootnoteReference"/>
          <w:rFonts w:ascii="Times New Roman" w:hAnsi="Times New Roman" w:cs="Times New Roman"/>
        </w:rPr>
        <w:footnoteRef/>
      </w:r>
      <w:r w:rsidRPr="00843A49">
        <w:rPr>
          <w:rFonts w:ascii="Times New Roman" w:hAnsi="Times New Roman" w:cs="Times New Roman"/>
        </w:rPr>
        <w:t xml:space="preserve"> EVTI 2014.</w:t>
      </w:r>
      <w:r w:rsidR="002308A0">
        <w:rPr>
          <w:rFonts w:ascii="Times New Roman" w:hAnsi="Times New Roman" w:cs="Times New Roman"/>
        </w:rPr>
        <w:t> </w:t>
      </w:r>
      <w:r w:rsidRPr="00843A49">
        <w:rPr>
          <w:rFonts w:ascii="Times New Roman" w:hAnsi="Times New Roman" w:cs="Times New Roman"/>
        </w:rPr>
        <w:t>gada 7.</w:t>
      </w:r>
      <w:r w:rsidR="002308A0">
        <w:rPr>
          <w:rFonts w:ascii="Times New Roman" w:hAnsi="Times New Roman" w:cs="Times New Roman"/>
        </w:rPr>
        <w:t> </w:t>
      </w:r>
      <w:r w:rsidRPr="00843A49">
        <w:rPr>
          <w:rFonts w:ascii="Times New Roman" w:hAnsi="Times New Roman" w:cs="Times New Roman"/>
        </w:rPr>
        <w:t xml:space="preserve">februāra atzinums </w:t>
      </w:r>
      <w:r w:rsidRPr="00A521B8">
        <w:rPr>
          <w:rFonts w:ascii="Times New Roman" w:hAnsi="Times New Roman" w:cs="Times New Roman"/>
        </w:rPr>
        <w:t xml:space="preserve">par </w:t>
      </w:r>
      <w:r w:rsidRPr="00A521B8">
        <w:rPr>
          <w:rFonts w:ascii="Times New Roman" w:hAnsi="Times New Roman" w:cs="Times New Roman"/>
          <w:bCs/>
          <w:szCs w:val="24"/>
        </w:rPr>
        <w:t>MiFID piemērošanas</w:t>
      </w:r>
      <w:r w:rsidRPr="00843A49">
        <w:rPr>
          <w:rFonts w:ascii="Times New Roman" w:hAnsi="Times New Roman" w:cs="Times New Roman"/>
          <w:bCs/>
          <w:szCs w:val="24"/>
        </w:rPr>
        <w:t xml:space="preserve"> praksi sabiedrībām, kas pārdod sarežģītus finanšu produktus</w:t>
      </w:r>
      <w:r w:rsidRPr="00843A49">
        <w:rPr>
          <w:rFonts w:ascii="Times New Roman" w:hAnsi="Times New Roman" w:cs="Times New Roman"/>
        </w:rPr>
        <w:t xml:space="preserve"> (ESMA/2014/146).</w:t>
      </w:r>
    </w:p>
  </w:footnote>
  <w:footnote w:id="62">
    <w:p w14:paraId="4A50B5EE" w14:textId="1290ED39" w:rsidR="00843A49" w:rsidRPr="002560D3" w:rsidRDefault="00843A49" w:rsidP="00843A49">
      <w:pPr>
        <w:spacing w:after="120" w:line="240" w:lineRule="auto"/>
        <w:rPr>
          <w:sz w:val="20"/>
          <w:szCs w:val="20"/>
        </w:rPr>
      </w:pPr>
      <w:r w:rsidRPr="00843A49">
        <w:rPr>
          <w:rStyle w:val="FootnoteReference"/>
          <w:rFonts w:ascii="Times New Roman" w:hAnsi="Times New Roman" w:cs="Times New Roman"/>
          <w:sz w:val="20"/>
          <w:szCs w:val="20"/>
        </w:rPr>
        <w:footnoteRef/>
      </w:r>
      <w:r w:rsidRPr="00843A49">
        <w:rPr>
          <w:rStyle w:val="FootnoteReference"/>
          <w:rFonts w:ascii="Times New Roman" w:hAnsi="Times New Roman" w:cs="Times New Roman"/>
          <w:sz w:val="20"/>
          <w:szCs w:val="20"/>
        </w:rPr>
        <w:t xml:space="preserve"> </w:t>
      </w:r>
      <w:bookmarkStart w:id="20" w:name="_Hlk173941246"/>
      <w:r w:rsidRPr="00843A49">
        <w:rPr>
          <w:rFonts w:ascii="Times New Roman" w:hAnsi="Times New Roman" w:cs="Times New Roman"/>
          <w:sz w:val="20"/>
          <w:szCs w:val="20"/>
        </w:rPr>
        <w:t xml:space="preserve">EVTI </w:t>
      </w:r>
      <w:r w:rsidR="001F0785" w:rsidRPr="001F0785">
        <w:rPr>
          <w:rFonts w:ascii="Times New Roman" w:hAnsi="Times New Roman" w:cs="Times New Roman"/>
          <w:sz w:val="20"/>
          <w:szCs w:val="20"/>
        </w:rPr>
        <w:t xml:space="preserve">2018. gada 22. maija </w:t>
      </w:r>
      <w:r w:rsidRPr="00843A49">
        <w:rPr>
          <w:rFonts w:ascii="Times New Roman" w:hAnsi="Times New Roman" w:cs="Times New Roman"/>
          <w:sz w:val="20"/>
          <w:szCs w:val="20"/>
        </w:rPr>
        <w:t xml:space="preserve">finanšu līgumu par starpību intervences lēmuma </w:t>
      </w:r>
      <w:bookmarkEnd w:id="20"/>
      <w:r w:rsidRPr="00843A49">
        <w:rPr>
          <w:rFonts w:ascii="Times New Roman" w:hAnsi="Times New Roman" w:cs="Times New Roman"/>
          <w:sz w:val="20"/>
          <w:szCs w:val="20"/>
        </w:rPr>
        <w:t>67.</w:t>
      </w:r>
      <w:r w:rsidR="002308A0">
        <w:rPr>
          <w:rFonts w:ascii="Times New Roman" w:hAnsi="Times New Roman" w:cs="Times New Roman"/>
          <w:sz w:val="20"/>
          <w:szCs w:val="20"/>
        </w:rPr>
        <w:t> </w:t>
      </w:r>
      <w:r w:rsidRPr="00843A49">
        <w:rPr>
          <w:rFonts w:ascii="Times New Roman" w:hAnsi="Times New Roman" w:cs="Times New Roman"/>
          <w:sz w:val="20"/>
          <w:szCs w:val="20"/>
        </w:rPr>
        <w:t>apsvērums.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02A95D45" w14:textId="77777777" w:rsidR="007E313B" w:rsidRPr="003C38E7" w:rsidRDefault="007E313B">
        <w:pPr>
          <w:pStyle w:val="Header"/>
          <w:jc w:val="center"/>
          <w:rPr>
            <w:rFonts w:ascii="Times New Roman" w:hAnsi="Times New Roman" w:cs="Times New Roman"/>
            <w:sz w:val="20"/>
            <w:szCs w:val="20"/>
          </w:rPr>
        </w:pPr>
        <w:r w:rsidRPr="003C38E7">
          <w:rPr>
            <w:rFonts w:ascii="Times New Roman" w:hAnsi="Times New Roman" w:cs="Times New Roman"/>
            <w:sz w:val="20"/>
            <w:szCs w:val="20"/>
          </w:rPr>
          <w:fldChar w:fldCharType="begin"/>
        </w:r>
        <w:r w:rsidRPr="003C38E7">
          <w:rPr>
            <w:rFonts w:ascii="Times New Roman" w:hAnsi="Times New Roman" w:cs="Times New Roman"/>
            <w:sz w:val="20"/>
            <w:szCs w:val="20"/>
          </w:rPr>
          <w:instrText>PAGE   \* MERGEFORMAT</w:instrText>
        </w:r>
        <w:r w:rsidRPr="003C38E7">
          <w:rPr>
            <w:rFonts w:ascii="Times New Roman" w:hAnsi="Times New Roman" w:cs="Times New Roman"/>
            <w:sz w:val="20"/>
            <w:szCs w:val="20"/>
          </w:rPr>
          <w:fldChar w:fldCharType="separate"/>
        </w:r>
        <w:r w:rsidRPr="003C38E7">
          <w:rPr>
            <w:rFonts w:ascii="Times New Roman" w:hAnsi="Times New Roman" w:cs="Times New Roman"/>
            <w:sz w:val="20"/>
            <w:szCs w:val="20"/>
          </w:rPr>
          <w:t>2</w:t>
        </w:r>
        <w:r w:rsidRPr="003C38E7">
          <w:rPr>
            <w:rFonts w:ascii="Times New Roman" w:hAnsi="Times New Roman" w:cs="Times New Roman"/>
            <w:sz w:val="20"/>
            <w:szCs w:val="20"/>
          </w:rPr>
          <w:fldChar w:fldCharType="end"/>
        </w:r>
      </w:p>
    </w:sdtContent>
  </w:sdt>
  <w:p w14:paraId="366BC250" w14:textId="77777777" w:rsidR="007E313B" w:rsidRPr="003C38E7"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01222"/>
    <w:multiLevelType w:val="hybridMultilevel"/>
    <w:tmpl w:val="CE4CD0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4686DFD"/>
    <w:multiLevelType w:val="hybridMultilevel"/>
    <w:tmpl w:val="FB86E7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20295"/>
    <w:multiLevelType w:val="hybridMultilevel"/>
    <w:tmpl w:val="C31CC15E"/>
    <w:lvl w:ilvl="0" w:tplc="DFE01AA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40C3F6F"/>
    <w:multiLevelType w:val="hybridMultilevel"/>
    <w:tmpl w:val="3E20DC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7CB7DFE"/>
    <w:multiLevelType w:val="hybridMultilevel"/>
    <w:tmpl w:val="C31CC15E"/>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A0E47F7"/>
    <w:multiLevelType w:val="hybridMultilevel"/>
    <w:tmpl w:val="61F4475C"/>
    <w:lvl w:ilvl="0" w:tplc="04260017">
      <w:start w:val="1"/>
      <w:numFmt w:val="lowerLetter"/>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E977CF"/>
    <w:multiLevelType w:val="hybridMultilevel"/>
    <w:tmpl w:val="AC1C56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154534C"/>
    <w:multiLevelType w:val="hybridMultilevel"/>
    <w:tmpl w:val="5250549A"/>
    <w:lvl w:ilvl="0" w:tplc="04260017">
      <w:start w:val="1"/>
      <w:numFmt w:val="low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5B71965"/>
    <w:multiLevelType w:val="hybridMultilevel"/>
    <w:tmpl w:val="ACCCC27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D4D23FF"/>
    <w:multiLevelType w:val="hybridMultilevel"/>
    <w:tmpl w:val="60DC5A0A"/>
    <w:lvl w:ilvl="0" w:tplc="04260017">
      <w:start w:val="1"/>
      <w:numFmt w:val="lowerLetter"/>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FB16390"/>
    <w:multiLevelType w:val="hybridMultilevel"/>
    <w:tmpl w:val="A9B89722"/>
    <w:lvl w:ilvl="0" w:tplc="FE661600">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16575A9"/>
    <w:multiLevelType w:val="hybridMultilevel"/>
    <w:tmpl w:val="F8DCD0A2"/>
    <w:lvl w:ilvl="0" w:tplc="8502059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5480DFC"/>
    <w:multiLevelType w:val="hybridMultilevel"/>
    <w:tmpl w:val="45BA67C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BFE09E8"/>
    <w:multiLevelType w:val="hybridMultilevel"/>
    <w:tmpl w:val="09B4B41C"/>
    <w:lvl w:ilvl="0" w:tplc="016E2370">
      <w:start w:val="1"/>
      <w:numFmt w:val="low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16488545">
    <w:abstractNumId w:val="11"/>
  </w:num>
  <w:num w:numId="2" w16cid:durableId="1202595070">
    <w:abstractNumId w:val="1"/>
  </w:num>
  <w:num w:numId="3" w16cid:durableId="1505895715">
    <w:abstractNumId w:val="8"/>
  </w:num>
  <w:num w:numId="4" w16cid:durableId="644044947">
    <w:abstractNumId w:val="6"/>
  </w:num>
  <w:num w:numId="5" w16cid:durableId="300427044">
    <w:abstractNumId w:val="2"/>
  </w:num>
  <w:num w:numId="6" w16cid:durableId="1130243144">
    <w:abstractNumId w:val="3"/>
  </w:num>
  <w:num w:numId="7" w16cid:durableId="1554733537">
    <w:abstractNumId w:val="4"/>
  </w:num>
  <w:num w:numId="8" w16cid:durableId="1255167735">
    <w:abstractNumId w:val="10"/>
  </w:num>
  <w:num w:numId="9" w16cid:durableId="1196237386">
    <w:abstractNumId w:val="12"/>
  </w:num>
  <w:num w:numId="10" w16cid:durableId="815220156">
    <w:abstractNumId w:val="13"/>
  </w:num>
  <w:num w:numId="11" w16cid:durableId="1218516834">
    <w:abstractNumId w:val="5"/>
  </w:num>
  <w:num w:numId="12" w16cid:durableId="2085637645">
    <w:abstractNumId w:val="9"/>
  </w:num>
  <w:num w:numId="13" w16cid:durableId="890656212">
    <w:abstractNumId w:val="0"/>
  </w:num>
  <w:num w:numId="14" w16cid:durableId="13833620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FC"/>
    <w:rsid w:val="00010ED8"/>
    <w:rsid w:val="00012B94"/>
    <w:rsid w:val="00022AA6"/>
    <w:rsid w:val="000263F5"/>
    <w:rsid w:val="00034F7C"/>
    <w:rsid w:val="00035E26"/>
    <w:rsid w:val="000447F2"/>
    <w:rsid w:val="00044D2D"/>
    <w:rsid w:val="00046FC6"/>
    <w:rsid w:val="00047795"/>
    <w:rsid w:val="000509E5"/>
    <w:rsid w:val="00053B53"/>
    <w:rsid w:val="00056BB1"/>
    <w:rsid w:val="000661C8"/>
    <w:rsid w:val="00066EC7"/>
    <w:rsid w:val="00071630"/>
    <w:rsid w:val="0007324F"/>
    <w:rsid w:val="00075145"/>
    <w:rsid w:val="00084A4D"/>
    <w:rsid w:val="0008510E"/>
    <w:rsid w:val="0009616F"/>
    <w:rsid w:val="000A2EBB"/>
    <w:rsid w:val="000B4E0A"/>
    <w:rsid w:val="000B50DA"/>
    <w:rsid w:val="000B6DAF"/>
    <w:rsid w:val="000C00DC"/>
    <w:rsid w:val="000C7AC5"/>
    <w:rsid w:val="000D1F03"/>
    <w:rsid w:val="000D2C95"/>
    <w:rsid w:val="000D5133"/>
    <w:rsid w:val="000D7B6C"/>
    <w:rsid w:val="000E09C6"/>
    <w:rsid w:val="000E633E"/>
    <w:rsid w:val="000E6C0B"/>
    <w:rsid w:val="000F1043"/>
    <w:rsid w:val="000F531B"/>
    <w:rsid w:val="00105DB2"/>
    <w:rsid w:val="00106D0B"/>
    <w:rsid w:val="001119AC"/>
    <w:rsid w:val="00111DB1"/>
    <w:rsid w:val="00113560"/>
    <w:rsid w:val="00115D13"/>
    <w:rsid w:val="00121094"/>
    <w:rsid w:val="001221CB"/>
    <w:rsid w:val="001263FF"/>
    <w:rsid w:val="00127874"/>
    <w:rsid w:val="00127AFE"/>
    <w:rsid w:val="00132070"/>
    <w:rsid w:val="00133406"/>
    <w:rsid w:val="00133F6A"/>
    <w:rsid w:val="00143A48"/>
    <w:rsid w:val="001473FE"/>
    <w:rsid w:val="00153846"/>
    <w:rsid w:val="00161DC6"/>
    <w:rsid w:val="0016726E"/>
    <w:rsid w:val="00173316"/>
    <w:rsid w:val="0017640D"/>
    <w:rsid w:val="001768C9"/>
    <w:rsid w:val="0018082F"/>
    <w:rsid w:val="00180AC0"/>
    <w:rsid w:val="00182AB2"/>
    <w:rsid w:val="00183596"/>
    <w:rsid w:val="0018681E"/>
    <w:rsid w:val="00192BCB"/>
    <w:rsid w:val="001A0037"/>
    <w:rsid w:val="001A0D99"/>
    <w:rsid w:val="001A2CB3"/>
    <w:rsid w:val="001A5171"/>
    <w:rsid w:val="001B0EA0"/>
    <w:rsid w:val="001B3B5C"/>
    <w:rsid w:val="001C105A"/>
    <w:rsid w:val="001C4C4E"/>
    <w:rsid w:val="001C772E"/>
    <w:rsid w:val="001D16C9"/>
    <w:rsid w:val="001D3A20"/>
    <w:rsid w:val="001E0EEA"/>
    <w:rsid w:val="001F0785"/>
    <w:rsid w:val="001F0E6F"/>
    <w:rsid w:val="002074BE"/>
    <w:rsid w:val="00212142"/>
    <w:rsid w:val="00212C53"/>
    <w:rsid w:val="0021429E"/>
    <w:rsid w:val="00220332"/>
    <w:rsid w:val="00220999"/>
    <w:rsid w:val="00220A2F"/>
    <w:rsid w:val="002308A0"/>
    <w:rsid w:val="00237F5E"/>
    <w:rsid w:val="002478D6"/>
    <w:rsid w:val="0025044F"/>
    <w:rsid w:val="00253A9E"/>
    <w:rsid w:val="00260003"/>
    <w:rsid w:val="00264F44"/>
    <w:rsid w:val="0027493A"/>
    <w:rsid w:val="00274C3C"/>
    <w:rsid w:val="0027603C"/>
    <w:rsid w:val="00276468"/>
    <w:rsid w:val="00276BB3"/>
    <w:rsid w:val="0028031D"/>
    <w:rsid w:val="0029065A"/>
    <w:rsid w:val="002B5161"/>
    <w:rsid w:val="002B6969"/>
    <w:rsid w:val="002B7FD1"/>
    <w:rsid w:val="002C0463"/>
    <w:rsid w:val="002C576C"/>
    <w:rsid w:val="002C7C4D"/>
    <w:rsid w:val="002D41C0"/>
    <w:rsid w:val="002F06B2"/>
    <w:rsid w:val="002F07DA"/>
    <w:rsid w:val="002F0B92"/>
    <w:rsid w:val="002F5BBC"/>
    <w:rsid w:val="003007D9"/>
    <w:rsid w:val="00306C32"/>
    <w:rsid w:val="003101ED"/>
    <w:rsid w:val="003141C2"/>
    <w:rsid w:val="00315FDD"/>
    <w:rsid w:val="00324D42"/>
    <w:rsid w:val="003269B2"/>
    <w:rsid w:val="00331220"/>
    <w:rsid w:val="00331DC5"/>
    <w:rsid w:val="0033278D"/>
    <w:rsid w:val="00332964"/>
    <w:rsid w:val="003344C2"/>
    <w:rsid w:val="003416A8"/>
    <w:rsid w:val="00344E75"/>
    <w:rsid w:val="00355285"/>
    <w:rsid w:val="003608DB"/>
    <w:rsid w:val="0036307D"/>
    <w:rsid w:val="003757EC"/>
    <w:rsid w:val="00383C56"/>
    <w:rsid w:val="00384C87"/>
    <w:rsid w:val="0038541F"/>
    <w:rsid w:val="00393C64"/>
    <w:rsid w:val="00395989"/>
    <w:rsid w:val="00396B39"/>
    <w:rsid w:val="0039734C"/>
    <w:rsid w:val="003A0809"/>
    <w:rsid w:val="003A604C"/>
    <w:rsid w:val="003A7348"/>
    <w:rsid w:val="003B481B"/>
    <w:rsid w:val="003C38E7"/>
    <w:rsid w:val="003E5E6E"/>
    <w:rsid w:val="003F67A9"/>
    <w:rsid w:val="004010BE"/>
    <w:rsid w:val="00411070"/>
    <w:rsid w:val="00423108"/>
    <w:rsid w:val="0042583A"/>
    <w:rsid w:val="00426B6A"/>
    <w:rsid w:val="00435CC6"/>
    <w:rsid w:val="004370B3"/>
    <w:rsid w:val="00446B7A"/>
    <w:rsid w:val="0045673B"/>
    <w:rsid w:val="00460BE6"/>
    <w:rsid w:val="0047783C"/>
    <w:rsid w:val="004913B1"/>
    <w:rsid w:val="0049248A"/>
    <w:rsid w:val="00493B54"/>
    <w:rsid w:val="004A6749"/>
    <w:rsid w:val="004B27FC"/>
    <w:rsid w:val="004B448A"/>
    <w:rsid w:val="004C2CF3"/>
    <w:rsid w:val="004D44FD"/>
    <w:rsid w:val="004E3287"/>
    <w:rsid w:val="004E53A1"/>
    <w:rsid w:val="004E6E04"/>
    <w:rsid w:val="004E709D"/>
    <w:rsid w:val="004F306C"/>
    <w:rsid w:val="004F4BFE"/>
    <w:rsid w:val="004F7583"/>
    <w:rsid w:val="004F7F53"/>
    <w:rsid w:val="0050545A"/>
    <w:rsid w:val="00507EFD"/>
    <w:rsid w:val="00512B97"/>
    <w:rsid w:val="00512DD3"/>
    <w:rsid w:val="005200B4"/>
    <w:rsid w:val="00522713"/>
    <w:rsid w:val="00530644"/>
    <w:rsid w:val="00534A0D"/>
    <w:rsid w:val="00543F7D"/>
    <w:rsid w:val="00544E55"/>
    <w:rsid w:val="00546592"/>
    <w:rsid w:val="005471EB"/>
    <w:rsid w:val="0054735D"/>
    <w:rsid w:val="005529BF"/>
    <w:rsid w:val="00554395"/>
    <w:rsid w:val="0055490D"/>
    <w:rsid w:val="00554FF3"/>
    <w:rsid w:val="00564D93"/>
    <w:rsid w:val="0057452A"/>
    <w:rsid w:val="00583AD6"/>
    <w:rsid w:val="0058480F"/>
    <w:rsid w:val="005908D9"/>
    <w:rsid w:val="00593B81"/>
    <w:rsid w:val="00594953"/>
    <w:rsid w:val="0059740D"/>
    <w:rsid w:val="00597794"/>
    <w:rsid w:val="005A5EBF"/>
    <w:rsid w:val="005A7E69"/>
    <w:rsid w:val="005B020B"/>
    <w:rsid w:val="005B0C12"/>
    <w:rsid w:val="005B3E28"/>
    <w:rsid w:val="005B5BAA"/>
    <w:rsid w:val="005B7E52"/>
    <w:rsid w:val="005D15F9"/>
    <w:rsid w:val="005E304E"/>
    <w:rsid w:val="005E770F"/>
    <w:rsid w:val="005F593D"/>
    <w:rsid w:val="005F7EE2"/>
    <w:rsid w:val="0060016E"/>
    <w:rsid w:val="00602887"/>
    <w:rsid w:val="00605922"/>
    <w:rsid w:val="00607167"/>
    <w:rsid w:val="00616F33"/>
    <w:rsid w:val="006171EE"/>
    <w:rsid w:val="006221DF"/>
    <w:rsid w:val="00631984"/>
    <w:rsid w:val="00642172"/>
    <w:rsid w:val="00651AD6"/>
    <w:rsid w:val="00653721"/>
    <w:rsid w:val="006547F8"/>
    <w:rsid w:val="00665399"/>
    <w:rsid w:val="00674A60"/>
    <w:rsid w:val="00680CB1"/>
    <w:rsid w:val="00684E8E"/>
    <w:rsid w:val="006904AC"/>
    <w:rsid w:val="006933E2"/>
    <w:rsid w:val="0069525E"/>
    <w:rsid w:val="006A480D"/>
    <w:rsid w:val="006A6952"/>
    <w:rsid w:val="006A7A4D"/>
    <w:rsid w:val="006B79F5"/>
    <w:rsid w:val="006C2B59"/>
    <w:rsid w:val="006D43CF"/>
    <w:rsid w:val="006D6421"/>
    <w:rsid w:val="006D759C"/>
    <w:rsid w:val="006D7FCA"/>
    <w:rsid w:val="006E2031"/>
    <w:rsid w:val="006E740A"/>
    <w:rsid w:val="006F52F7"/>
    <w:rsid w:val="00702268"/>
    <w:rsid w:val="00704729"/>
    <w:rsid w:val="00710122"/>
    <w:rsid w:val="00711F57"/>
    <w:rsid w:val="007269D2"/>
    <w:rsid w:val="007277CC"/>
    <w:rsid w:val="00732259"/>
    <w:rsid w:val="007324C7"/>
    <w:rsid w:val="007337D2"/>
    <w:rsid w:val="007416EF"/>
    <w:rsid w:val="00745EDD"/>
    <w:rsid w:val="00756820"/>
    <w:rsid w:val="0075715F"/>
    <w:rsid w:val="0075746E"/>
    <w:rsid w:val="00760BAA"/>
    <w:rsid w:val="00762371"/>
    <w:rsid w:val="007628DF"/>
    <w:rsid w:val="0076311D"/>
    <w:rsid w:val="007652DA"/>
    <w:rsid w:val="00766A35"/>
    <w:rsid w:val="00775B4F"/>
    <w:rsid w:val="00775E62"/>
    <w:rsid w:val="00777CDF"/>
    <w:rsid w:val="0078255B"/>
    <w:rsid w:val="00783727"/>
    <w:rsid w:val="0078446A"/>
    <w:rsid w:val="00790CDB"/>
    <w:rsid w:val="007A0755"/>
    <w:rsid w:val="007A47CA"/>
    <w:rsid w:val="007A576E"/>
    <w:rsid w:val="007A6267"/>
    <w:rsid w:val="007B1B82"/>
    <w:rsid w:val="007B3E90"/>
    <w:rsid w:val="007B6763"/>
    <w:rsid w:val="007B6ADE"/>
    <w:rsid w:val="007D4FFB"/>
    <w:rsid w:val="007D6A2E"/>
    <w:rsid w:val="007E313B"/>
    <w:rsid w:val="007E4849"/>
    <w:rsid w:val="007E6E7B"/>
    <w:rsid w:val="007F0806"/>
    <w:rsid w:val="007F1670"/>
    <w:rsid w:val="007F424A"/>
    <w:rsid w:val="00803E50"/>
    <w:rsid w:val="00812655"/>
    <w:rsid w:val="00812C29"/>
    <w:rsid w:val="0081349C"/>
    <w:rsid w:val="00816FEE"/>
    <w:rsid w:val="00825A84"/>
    <w:rsid w:val="0082602A"/>
    <w:rsid w:val="008266F6"/>
    <w:rsid w:val="00827F6C"/>
    <w:rsid w:val="0083065A"/>
    <w:rsid w:val="008364B7"/>
    <w:rsid w:val="0084203B"/>
    <w:rsid w:val="00843A49"/>
    <w:rsid w:val="00844AA5"/>
    <w:rsid w:val="008468FC"/>
    <w:rsid w:val="00857AE7"/>
    <w:rsid w:val="00861ABD"/>
    <w:rsid w:val="008631E9"/>
    <w:rsid w:val="008648AF"/>
    <w:rsid w:val="00870558"/>
    <w:rsid w:val="00874469"/>
    <w:rsid w:val="0088444E"/>
    <w:rsid w:val="008A10FC"/>
    <w:rsid w:val="008A1ED6"/>
    <w:rsid w:val="008A5E33"/>
    <w:rsid w:val="008A60D8"/>
    <w:rsid w:val="008E0327"/>
    <w:rsid w:val="008E3B09"/>
    <w:rsid w:val="008E5098"/>
    <w:rsid w:val="008F29FA"/>
    <w:rsid w:val="0090086E"/>
    <w:rsid w:val="00901291"/>
    <w:rsid w:val="00904853"/>
    <w:rsid w:val="009114EB"/>
    <w:rsid w:val="009153F2"/>
    <w:rsid w:val="00920831"/>
    <w:rsid w:val="009212CE"/>
    <w:rsid w:val="00930DFD"/>
    <w:rsid w:val="009405EC"/>
    <w:rsid w:val="009406A9"/>
    <w:rsid w:val="00946C07"/>
    <w:rsid w:val="009642E3"/>
    <w:rsid w:val="00966711"/>
    <w:rsid w:val="0096734E"/>
    <w:rsid w:val="00976D99"/>
    <w:rsid w:val="00983084"/>
    <w:rsid w:val="00983AE8"/>
    <w:rsid w:val="00986E0C"/>
    <w:rsid w:val="009876C1"/>
    <w:rsid w:val="00990172"/>
    <w:rsid w:val="00995828"/>
    <w:rsid w:val="00997075"/>
    <w:rsid w:val="009A2F99"/>
    <w:rsid w:val="009A7858"/>
    <w:rsid w:val="009B1C72"/>
    <w:rsid w:val="009B27BE"/>
    <w:rsid w:val="009D4067"/>
    <w:rsid w:val="009D69BC"/>
    <w:rsid w:val="009D6A56"/>
    <w:rsid w:val="009D7EEA"/>
    <w:rsid w:val="009E0847"/>
    <w:rsid w:val="009E108D"/>
    <w:rsid w:val="009E150E"/>
    <w:rsid w:val="009E17F0"/>
    <w:rsid w:val="009E2FD3"/>
    <w:rsid w:val="009E7238"/>
    <w:rsid w:val="009E7F1C"/>
    <w:rsid w:val="009F2A4A"/>
    <w:rsid w:val="00A017AB"/>
    <w:rsid w:val="00A0418B"/>
    <w:rsid w:val="00A153C8"/>
    <w:rsid w:val="00A31679"/>
    <w:rsid w:val="00A3419D"/>
    <w:rsid w:val="00A4059A"/>
    <w:rsid w:val="00A42788"/>
    <w:rsid w:val="00A44A2D"/>
    <w:rsid w:val="00A521B8"/>
    <w:rsid w:val="00A60B0A"/>
    <w:rsid w:val="00A61159"/>
    <w:rsid w:val="00A61834"/>
    <w:rsid w:val="00A61C66"/>
    <w:rsid w:val="00A64D21"/>
    <w:rsid w:val="00A70864"/>
    <w:rsid w:val="00A7118E"/>
    <w:rsid w:val="00A733E3"/>
    <w:rsid w:val="00A75224"/>
    <w:rsid w:val="00A83584"/>
    <w:rsid w:val="00A842CA"/>
    <w:rsid w:val="00A8650A"/>
    <w:rsid w:val="00A87784"/>
    <w:rsid w:val="00A9455C"/>
    <w:rsid w:val="00A97F5C"/>
    <w:rsid w:val="00AA2506"/>
    <w:rsid w:val="00AB023D"/>
    <w:rsid w:val="00AB094C"/>
    <w:rsid w:val="00AB7629"/>
    <w:rsid w:val="00AC12AD"/>
    <w:rsid w:val="00AE1368"/>
    <w:rsid w:val="00AE2B12"/>
    <w:rsid w:val="00AE5DDD"/>
    <w:rsid w:val="00AF312B"/>
    <w:rsid w:val="00B07C82"/>
    <w:rsid w:val="00B1087E"/>
    <w:rsid w:val="00B1208C"/>
    <w:rsid w:val="00B151D1"/>
    <w:rsid w:val="00B20CFF"/>
    <w:rsid w:val="00B235A1"/>
    <w:rsid w:val="00B239A5"/>
    <w:rsid w:val="00B3355C"/>
    <w:rsid w:val="00B4116E"/>
    <w:rsid w:val="00B47B00"/>
    <w:rsid w:val="00B56FFA"/>
    <w:rsid w:val="00B62244"/>
    <w:rsid w:val="00B67A22"/>
    <w:rsid w:val="00B8515A"/>
    <w:rsid w:val="00B8619E"/>
    <w:rsid w:val="00B95DAB"/>
    <w:rsid w:val="00BA30C1"/>
    <w:rsid w:val="00BA322F"/>
    <w:rsid w:val="00BA733D"/>
    <w:rsid w:val="00BB079B"/>
    <w:rsid w:val="00BB3250"/>
    <w:rsid w:val="00BB66FC"/>
    <w:rsid w:val="00BB7D3A"/>
    <w:rsid w:val="00BC6039"/>
    <w:rsid w:val="00BD79C8"/>
    <w:rsid w:val="00C005FA"/>
    <w:rsid w:val="00C008EB"/>
    <w:rsid w:val="00C01B9C"/>
    <w:rsid w:val="00C0242D"/>
    <w:rsid w:val="00C039F7"/>
    <w:rsid w:val="00C03D23"/>
    <w:rsid w:val="00C0753D"/>
    <w:rsid w:val="00C079FF"/>
    <w:rsid w:val="00C10CD5"/>
    <w:rsid w:val="00C21818"/>
    <w:rsid w:val="00C22EDE"/>
    <w:rsid w:val="00C40230"/>
    <w:rsid w:val="00C42C31"/>
    <w:rsid w:val="00C45421"/>
    <w:rsid w:val="00C47A0B"/>
    <w:rsid w:val="00C53593"/>
    <w:rsid w:val="00C60FFE"/>
    <w:rsid w:val="00C710C5"/>
    <w:rsid w:val="00C719F3"/>
    <w:rsid w:val="00C7276F"/>
    <w:rsid w:val="00C747D4"/>
    <w:rsid w:val="00C74B3E"/>
    <w:rsid w:val="00C82C1F"/>
    <w:rsid w:val="00C847FE"/>
    <w:rsid w:val="00C84876"/>
    <w:rsid w:val="00C8521D"/>
    <w:rsid w:val="00C85C34"/>
    <w:rsid w:val="00C87B4F"/>
    <w:rsid w:val="00C904BF"/>
    <w:rsid w:val="00C91FE7"/>
    <w:rsid w:val="00C9218C"/>
    <w:rsid w:val="00C927E0"/>
    <w:rsid w:val="00C978E9"/>
    <w:rsid w:val="00CA0B2A"/>
    <w:rsid w:val="00CA2423"/>
    <w:rsid w:val="00CA2487"/>
    <w:rsid w:val="00CA28AB"/>
    <w:rsid w:val="00CB07C4"/>
    <w:rsid w:val="00CB306C"/>
    <w:rsid w:val="00CC01CA"/>
    <w:rsid w:val="00CC36DE"/>
    <w:rsid w:val="00CD2DDA"/>
    <w:rsid w:val="00CE16C4"/>
    <w:rsid w:val="00CE5E12"/>
    <w:rsid w:val="00D02131"/>
    <w:rsid w:val="00D02A5A"/>
    <w:rsid w:val="00D16C7F"/>
    <w:rsid w:val="00D17D5D"/>
    <w:rsid w:val="00D31F17"/>
    <w:rsid w:val="00D363A5"/>
    <w:rsid w:val="00D45E9B"/>
    <w:rsid w:val="00D50739"/>
    <w:rsid w:val="00D508D3"/>
    <w:rsid w:val="00D52D8A"/>
    <w:rsid w:val="00D551DC"/>
    <w:rsid w:val="00D60794"/>
    <w:rsid w:val="00D65237"/>
    <w:rsid w:val="00D76072"/>
    <w:rsid w:val="00D80D24"/>
    <w:rsid w:val="00D82AD5"/>
    <w:rsid w:val="00D8509C"/>
    <w:rsid w:val="00D852BC"/>
    <w:rsid w:val="00D90E7E"/>
    <w:rsid w:val="00DA57BD"/>
    <w:rsid w:val="00DB5953"/>
    <w:rsid w:val="00DC0A5B"/>
    <w:rsid w:val="00DD1B2D"/>
    <w:rsid w:val="00DD664A"/>
    <w:rsid w:val="00DE3F00"/>
    <w:rsid w:val="00DE42AA"/>
    <w:rsid w:val="00DE6BAB"/>
    <w:rsid w:val="00DF2E9C"/>
    <w:rsid w:val="00DF4484"/>
    <w:rsid w:val="00DF4E89"/>
    <w:rsid w:val="00E0094D"/>
    <w:rsid w:val="00E04474"/>
    <w:rsid w:val="00E159AF"/>
    <w:rsid w:val="00E16415"/>
    <w:rsid w:val="00E253DA"/>
    <w:rsid w:val="00E32480"/>
    <w:rsid w:val="00E356C3"/>
    <w:rsid w:val="00E51E4A"/>
    <w:rsid w:val="00E53DE9"/>
    <w:rsid w:val="00E60064"/>
    <w:rsid w:val="00E6195A"/>
    <w:rsid w:val="00E74054"/>
    <w:rsid w:val="00E75BE0"/>
    <w:rsid w:val="00E843F5"/>
    <w:rsid w:val="00E8737C"/>
    <w:rsid w:val="00E92DA6"/>
    <w:rsid w:val="00EA1A7B"/>
    <w:rsid w:val="00EA59A3"/>
    <w:rsid w:val="00EA5F38"/>
    <w:rsid w:val="00EB261C"/>
    <w:rsid w:val="00EB60A0"/>
    <w:rsid w:val="00EC7E03"/>
    <w:rsid w:val="00ED06E4"/>
    <w:rsid w:val="00ED0F5A"/>
    <w:rsid w:val="00ED179A"/>
    <w:rsid w:val="00EF290B"/>
    <w:rsid w:val="00EF330D"/>
    <w:rsid w:val="00EF3B17"/>
    <w:rsid w:val="00F00F14"/>
    <w:rsid w:val="00F05276"/>
    <w:rsid w:val="00F05564"/>
    <w:rsid w:val="00F169C3"/>
    <w:rsid w:val="00F17B85"/>
    <w:rsid w:val="00F21B31"/>
    <w:rsid w:val="00F23846"/>
    <w:rsid w:val="00F23CB1"/>
    <w:rsid w:val="00F469CE"/>
    <w:rsid w:val="00F74741"/>
    <w:rsid w:val="00F8190C"/>
    <w:rsid w:val="00F82B1D"/>
    <w:rsid w:val="00F85A76"/>
    <w:rsid w:val="00F8663F"/>
    <w:rsid w:val="00FA3C1F"/>
    <w:rsid w:val="00FA3E68"/>
    <w:rsid w:val="00FA4B91"/>
    <w:rsid w:val="00FB6675"/>
    <w:rsid w:val="00FC0956"/>
    <w:rsid w:val="00FC5E08"/>
    <w:rsid w:val="00FC6D89"/>
    <w:rsid w:val="00FC7E25"/>
    <w:rsid w:val="00FD0716"/>
    <w:rsid w:val="00FE0BF4"/>
    <w:rsid w:val="00FE51A8"/>
    <w:rsid w:val="00FF4220"/>
    <w:rsid w:val="00FF66D6"/>
    <w:rsid w:val="00FF76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BC0F1"/>
  <w15:chartTrackingRefBased/>
  <w15:docId w15:val="{8AAE3D62-1634-471F-B25C-194246924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6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861ABD"/>
    <w:pPr>
      <w:spacing w:after="0" w:line="240" w:lineRule="auto"/>
    </w:pPr>
  </w:style>
  <w:style w:type="character" w:styleId="CommentReference">
    <w:name w:val="annotation reference"/>
    <w:basedOn w:val="DefaultParagraphFont"/>
    <w:uiPriority w:val="99"/>
    <w:semiHidden/>
    <w:unhideWhenUsed/>
    <w:rsid w:val="00861ABD"/>
    <w:rPr>
      <w:sz w:val="16"/>
      <w:szCs w:val="16"/>
    </w:rPr>
  </w:style>
  <w:style w:type="paragraph" w:styleId="CommentText">
    <w:name w:val="annotation text"/>
    <w:basedOn w:val="Normal"/>
    <w:link w:val="CommentTextChar"/>
    <w:uiPriority w:val="99"/>
    <w:unhideWhenUsed/>
    <w:rsid w:val="00861ABD"/>
    <w:pPr>
      <w:spacing w:line="240" w:lineRule="auto"/>
    </w:pPr>
    <w:rPr>
      <w:sz w:val="20"/>
      <w:szCs w:val="20"/>
    </w:rPr>
  </w:style>
  <w:style w:type="character" w:customStyle="1" w:styleId="CommentTextChar">
    <w:name w:val="Comment Text Char"/>
    <w:basedOn w:val="DefaultParagraphFont"/>
    <w:link w:val="CommentText"/>
    <w:uiPriority w:val="99"/>
    <w:rsid w:val="00861ABD"/>
    <w:rPr>
      <w:sz w:val="20"/>
      <w:szCs w:val="20"/>
    </w:r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 w:val="20"/>
      <w:szCs w:val="20"/>
    </w:rPr>
  </w:style>
  <w:style w:type="paragraph" w:styleId="ListParagraph">
    <w:name w:val="List Paragraph"/>
    <w:basedOn w:val="Normal"/>
    <w:uiPriority w:val="34"/>
    <w:qFormat/>
    <w:rsid w:val="00CE5E12"/>
    <w:pPr>
      <w:ind w:left="720"/>
      <w:contextualSpacing/>
    </w:pPr>
  </w:style>
  <w:style w:type="character" w:styleId="Hyperlink">
    <w:name w:val="Hyperlink"/>
    <w:basedOn w:val="DefaultParagraphFont"/>
    <w:uiPriority w:val="99"/>
    <w:unhideWhenUsed/>
    <w:rsid w:val="009E7238"/>
    <w:rPr>
      <w:color w:val="0563C1" w:themeColor="hyperlink"/>
      <w:u w:val="single"/>
    </w:rPr>
  </w:style>
  <w:style w:type="character" w:styleId="UnresolvedMention">
    <w:name w:val="Unresolved Mention"/>
    <w:basedOn w:val="DefaultParagraphFont"/>
    <w:uiPriority w:val="99"/>
    <w:semiHidden/>
    <w:unhideWhenUsed/>
    <w:rsid w:val="009E7238"/>
    <w:rPr>
      <w:color w:val="605E5C"/>
      <w:shd w:val="clear" w:color="auto" w:fill="E1DFDD"/>
    </w:rPr>
  </w:style>
  <w:style w:type="paragraph" w:customStyle="1" w:styleId="Teksts1">
    <w:name w:val="Teksts1"/>
    <w:basedOn w:val="Normal"/>
    <w:rsid w:val="00BA322F"/>
    <w:pPr>
      <w:suppressAutoHyphens/>
      <w:spacing w:after="320" w:line="240" w:lineRule="auto"/>
      <w:jc w:val="both"/>
    </w:pPr>
    <w:rPr>
      <w:rFonts w:ascii="Times New Roman" w:eastAsia="Times New Roman" w:hAnsi="Times New Roman" w:cs="Times New Roman"/>
      <w:sz w:val="24"/>
      <w:szCs w:val="20"/>
      <w:lang w:eastAsia="ar-SA"/>
    </w:rPr>
  </w:style>
  <w:style w:type="paragraph" w:customStyle="1" w:styleId="CM1">
    <w:name w:val="CM1"/>
    <w:basedOn w:val="Normal"/>
    <w:next w:val="Normal"/>
    <w:uiPriority w:val="99"/>
    <w:rsid w:val="00AE2B12"/>
    <w:pPr>
      <w:autoSpaceDE w:val="0"/>
      <w:autoSpaceDN w:val="0"/>
      <w:adjustRightInd w:val="0"/>
      <w:spacing w:after="0" w:line="240" w:lineRule="auto"/>
    </w:pPr>
    <w:rPr>
      <w:rFonts w:ascii="EUAlbertina" w:hAnsi="EUAlbertina"/>
      <w:sz w:val="24"/>
      <w:szCs w:val="24"/>
      <w:lang w:val="en-US"/>
    </w:rPr>
  </w:style>
  <w:style w:type="character" w:styleId="FollowedHyperlink">
    <w:name w:val="FollowedHyperlink"/>
    <w:basedOn w:val="DefaultParagraphFont"/>
    <w:uiPriority w:val="99"/>
    <w:semiHidden/>
    <w:unhideWhenUsed/>
    <w:rsid w:val="003552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68012131">
      <w:bodyDiv w:val="1"/>
      <w:marLeft w:val="0"/>
      <w:marRight w:val="0"/>
      <w:marTop w:val="0"/>
      <w:marBottom w:val="0"/>
      <w:divBdr>
        <w:top w:val="none" w:sz="0" w:space="0" w:color="auto"/>
        <w:left w:val="none" w:sz="0" w:space="0" w:color="auto"/>
        <w:bottom w:val="none" w:sz="0" w:space="0" w:color="auto"/>
        <w:right w:val="none" w:sz="0" w:space="0" w:color="auto"/>
      </w:divBdr>
    </w:div>
    <w:div w:id="766772995">
      <w:bodyDiv w:val="1"/>
      <w:marLeft w:val="0"/>
      <w:marRight w:val="0"/>
      <w:marTop w:val="0"/>
      <w:marBottom w:val="0"/>
      <w:divBdr>
        <w:top w:val="none" w:sz="0" w:space="0" w:color="auto"/>
        <w:left w:val="none" w:sz="0" w:space="0" w:color="auto"/>
        <w:bottom w:val="none" w:sz="0" w:space="0" w:color="auto"/>
        <w:right w:val="none" w:sz="0" w:space="0" w:color="auto"/>
      </w:divBdr>
    </w:div>
    <w:div w:id="1030061793">
      <w:bodyDiv w:val="1"/>
      <w:marLeft w:val="0"/>
      <w:marRight w:val="0"/>
      <w:marTop w:val="0"/>
      <w:marBottom w:val="0"/>
      <w:divBdr>
        <w:top w:val="none" w:sz="0" w:space="0" w:color="auto"/>
        <w:left w:val="none" w:sz="0" w:space="0" w:color="auto"/>
        <w:bottom w:val="none" w:sz="0" w:space="0" w:color="auto"/>
        <w:right w:val="none" w:sz="0" w:space="0" w:color="auto"/>
      </w:divBdr>
    </w:div>
    <w:div w:id="1254044746">
      <w:bodyDiv w:val="1"/>
      <w:marLeft w:val="0"/>
      <w:marRight w:val="0"/>
      <w:marTop w:val="0"/>
      <w:marBottom w:val="0"/>
      <w:divBdr>
        <w:top w:val="none" w:sz="0" w:space="0" w:color="auto"/>
        <w:left w:val="none" w:sz="0" w:space="0" w:color="auto"/>
        <w:bottom w:val="none" w:sz="0" w:space="0" w:color="auto"/>
        <w:right w:val="none" w:sz="0" w:space="0" w:color="auto"/>
      </w:divBdr>
    </w:div>
    <w:div w:id="1980649857">
      <w:bodyDiv w:val="1"/>
      <w:marLeft w:val="0"/>
      <w:marRight w:val="0"/>
      <w:marTop w:val="0"/>
      <w:marBottom w:val="0"/>
      <w:divBdr>
        <w:top w:val="none" w:sz="0" w:space="0" w:color="auto"/>
        <w:left w:val="none" w:sz="0" w:space="0" w:color="auto"/>
        <w:bottom w:val="none" w:sz="0" w:space="0" w:color="auto"/>
        <w:right w:val="none" w:sz="0" w:space="0" w:color="auto"/>
      </w:divBdr>
    </w:div>
    <w:div w:id="213667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esma.europa.eu/sites/default/files/library/esma-35-43-1780-esma_opinion_under_article_432_mifir_afm_cfds.pdf" TargetMode="External"/><Relationship Id="rId13" Type="http://schemas.openxmlformats.org/officeDocument/2006/relationships/hyperlink" Target="https://eur-lex.europa.eu/legal-content/LV/TXT/?uri=CELEX:32018X1227(01)" TargetMode="External"/><Relationship Id="rId18" Type="http://schemas.openxmlformats.org/officeDocument/2006/relationships/hyperlink" Target="https://www.iosco.org/library/pubdocs/pdf/IOSCOPD550.pdf" TargetMode="External"/><Relationship Id="rId3" Type="http://schemas.openxmlformats.org/officeDocument/2006/relationships/hyperlink" Target="https://eur-lex.europa.eu/legal-content/LV/TXT/?uri=CELEX%3A32019X0430%2801%29&amp;qid=1720714196975" TargetMode="External"/><Relationship Id="rId21" Type="http://schemas.openxmlformats.org/officeDocument/2006/relationships/hyperlink" Target="https://eur-lex.europa.eu/legal-content/LV/TXT/?uri=CELEX%3A32018X1031%2801%29&amp;qid=1720713203199" TargetMode="External"/><Relationship Id="rId7" Type="http://schemas.openxmlformats.org/officeDocument/2006/relationships/hyperlink" Target="https://eur-lex.europa.eu/legal-content/LV/TXT/?uri=CELEX:32019X0327(01)" TargetMode="External"/><Relationship Id="rId12" Type="http://schemas.openxmlformats.org/officeDocument/2006/relationships/hyperlink" Target="https://eur-lex.europa.eu/legal-content/LV/TXT/?uri=CELEX%3A32018X1001%2801%29&amp;qid=1720717071534" TargetMode="External"/><Relationship Id="rId17" Type="http://schemas.openxmlformats.org/officeDocument/2006/relationships/hyperlink" Target="https://www.iosco.org/library/pubdocs/pdf/IOSCOPD550.pdf" TargetMode="External"/><Relationship Id="rId25" Type="http://schemas.openxmlformats.org/officeDocument/2006/relationships/hyperlink" Target="https://www.bank.lv/tiesibu-akti/728-aktualitates/fktk-zinu-arhivs/13938-ieguldijumi-kriptovalutas-iespeja-gan-nopelnit-gan-pazaudet" TargetMode="External"/><Relationship Id="rId2" Type="http://schemas.openxmlformats.org/officeDocument/2006/relationships/hyperlink" Target="https://eur-lex.europa.eu/legal-content/LV/TXT/?uri=CELEX%3A32019X0131%2801%29&amp;qid=1720713986715" TargetMode="External"/><Relationship Id="rId16" Type="http://schemas.openxmlformats.org/officeDocument/2006/relationships/hyperlink" Target="https://www.iosco.org/library/pubdocs/pdf/IOSCOPD550.pdf" TargetMode="External"/><Relationship Id="rId20" Type="http://schemas.openxmlformats.org/officeDocument/2006/relationships/hyperlink" Target="https://eur-lex.europa.eu/legal-content/LV/TXT/?uri=CELEX:32018X0601(02)" TargetMode="External"/><Relationship Id="rId1" Type="http://schemas.openxmlformats.org/officeDocument/2006/relationships/hyperlink" Target="https://eur-lex.europa.eu/legal-content/LV/TXT/?uri=CELEX%3A32018X1031%2801%29&amp;qid=1720713203199" TargetMode="External"/><Relationship Id="rId6" Type="http://schemas.openxmlformats.org/officeDocument/2006/relationships/hyperlink" Target="https://eur-lex.europa.eu/legal-content/LV/TXT/?uri=CELEX:32018X1227(01)" TargetMode="External"/><Relationship Id="rId11" Type="http://schemas.openxmlformats.org/officeDocument/2006/relationships/hyperlink" Target="https://eur-lex.europa.eu/legal-content/LV/TXT/?uri=CELEX%3A32018X0601%2801%29&amp;qid=1720716785699" TargetMode="External"/><Relationship Id="rId24" Type="http://schemas.openxmlformats.org/officeDocument/2006/relationships/hyperlink" Target="https://www.esma.europa.eu/sites/default/files/library/esma50-162-215_product_intervention_analysis_cfds.pdf" TargetMode="External"/><Relationship Id="rId5" Type="http://schemas.openxmlformats.org/officeDocument/2006/relationships/hyperlink" Target="https://eur-lex.europa.eu/legal-content/LV/TXT/?uri=CELEX%3A32018X1001%2801%29&amp;qid=1720717071534" TargetMode="External"/><Relationship Id="rId15" Type="http://schemas.openxmlformats.org/officeDocument/2006/relationships/hyperlink" Target="https://www.iosco.org/library/pubdocs/pdf/IOSCOPD550.pdf" TargetMode="External"/><Relationship Id="rId23" Type="http://schemas.openxmlformats.org/officeDocument/2006/relationships/hyperlink" Target="https://eur-lex.europa.eu/legal-content/LV/TXT/?uri=CELEX%3A32019X0430%2801%29&amp;qid=1720714196975" TargetMode="External"/><Relationship Id="rId10" Type="http://schemas.openxmlformats.org/officeDocument/2006/relationships/hyperlink" Target="https://eur-lex.europa.eu/legal-content/LV/TXT/?uri=CELEX:32018X0601(02)" TargetMode="External"/><Relationship Id="rId19" Type="http://schemas.openxmlformats.org/officeDocument/2006/relationships/hyperlink" Target="https://www.bank.lv/darbibas-jomas/klientu-aizsardziba/uzmanies-no-krapniekiem/bridinajumi-par-aizdomigiem-finansu-darijumiem/13901-fktk-bridina-par-riskantiem-ieguldijumu-pakalpojumiem-kurus-piedava-pa-talruni-pievienota-ari-informacija-krievu-valoda" TargetMode="External"/><Relationship Id="rId4" Type="http://schemas.openxmlformats.org/officeDocument/2006/relationships/hyperlink" Target="https://eur-lex.europa.eu/legal-content/LV/TXT/?uri=CELEX%3A32018X0601%2801%29&amp;qid=1720716785699" TargetMode="External"/><Relationship Id="rId9" Type="http://schemas.openxmlformats.org/officeDocument/2006/relationships/hyperlink" Target="https://eur-lex.europa.eu/legal-content/LV/TXT/?uri=CELEX:32018X0601(02)" TargetMode="External"/><Relationship Id="rId14" Type="http://schemas.openxmlformats.org/officeDocument/2006/relationships/hyperlink" Target="https://eur-lex.europa.eu/legal-content/LV/TXT/?uri=CELEX:32019X0327(01)" TargetMode="External"/><Relationship Id="rId22" Type="http://schemas.openxmlformats.org/officeDocument/2006/relationships/hyperlink" Target="https://eur-lex.europa.eu/legal-content/LV/TXT/?uri=CELEX%3A32019X0131%2801%29&amp;qid=1720713986715"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55391</Words>
  <Characters>31573</Characters>
  <Application>Microsoft Office Word</Application>
  <DocSecurity>0</DocSecurity>
  <Lines>263</Lines>
  <Paragraphs>173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Bergholde</dc:creator>
  <cp:keywords/>
  <dc:description/>
  <cp:lastModifiedBy>Ilze Grava</cp:lastModifiedBy>
  <cp:revision>3</cp:revision>
  <dcterms:created xsi:type="dcterms:W3CDTF">2024-09-12T11:25:00Z</dcterms:created>
  <dcterms:modified xsi:type="dcterms:W3CDTF">2024-09-23T08:20:00Z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