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F6F8" w14:textId="209467F1" w:rsidR="009C42A8" w:rsidRPr="0079205D" w:rsidRDefault="00911D29"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38825AE357F141DA826325C94A7DB10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FF73C6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228E7AF" w14:textId="77777777" w:rsidTr="00811BE5">
        <w:sdt>
          <w:sdtPr>
            <w:rPr>
              <w:rFonts w:cs="Times New Roman"/>
            </w:rPr>
            <w:id w:val="25447574"/>
            <w:lock w:val="sdtLocked"/>
            <w:placeholder>
              <w:docPart w:val="7C062199D1294741A75A59B5A2C0CAB1"/>
            </w:placeholder>
            <w:showingPlcHdr/>
          </w:sdtPr>
          <w:sdtEndPr/>
          <w:sdtContent>
            <w:tc>
              <w:tcPr>
                <w:tcW w:w="4360" w:type="dxa"/>
                <w:vAlign w:val="bottom"/>
              </w:tcPr>
              <w:p w14:paraId="6AD4C04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EE1A94D" w14:textId="77777777" w:rsidR="003C1EF2" w:rsidRDefault="00911D29" w:rsidP="00C523D5">
            <w:pPr>
              <w:pStyle w:val="NoSpacing"/>
              <w:ind w:right="-111"/>
              <w:jc w:val="right"/>
            </w:pPr>
            <w:sdt>
              <w:sdtPr>
                <w:id w:val="32932642"/>
                <w:lock w:val="sdtContentLocked"/>
                <w:placeholder>
                  <w:docPart w:val="3CC6D5A87AEB4202880FFC912594CCE4"/>
                </w:placeholder>
                <w:showingPlcHdr/>
              </w:sdtPr>
              <w:sdtEndPr/>
              <w:sdtContent>
                <w:r w:rsidR="00F13DD7">
                  <w:t xml:space="preserve">Noteikumi </w:t>
                </w:r>
              </w:sdtContent>
            </w:sdt>
            <w:sdt>
              <w:sdtPr>
                <w:id w:val="25447619"/>
                <w:lock w:val="sdtContentLocked"/>
                <w:placeholder>
                  <w:docPart w:val="0BF8AD24C5564DAFB2D3F4D3C52040ED"/>
                </w:placeholder>
                <w:showingPlcHdr/>
              </w:sdtPr>
              <w:sdtEndPr/>
              <w:sdtContent>
                <w:r w:rsidR="003C1EF2">
                  <w:t xml:space="preserve">Nr. </w:t>
                </w:r>
              </w:sdtContent>
            </w:sdt>
            <w:sdt>
              <w:sdtPr>
                <w:id w:val="25447645"/>
                <w:lock w:val="sdtLocked"/>
                <w:placeholder>
                  <w:docPart w:val="E2E1A397DF2C4348A98B0CA2452F88D8"/>
                </w:placeholder>
                <w:showingPlcHdr/>
              </w:sdtPr>
              <w:sdtEndPr/>
              <w:sdtContent>
                <w:r w:rsidR="007A4159">
                  <w:t>_____</w:t>
                </w:r>
              </w:sdtContent>
            </w:sdt>
          </w:p>
        </w:tc>
      </w:tr>
    </w:tbl>
    <w:sdt>
      <w:sdtPr>
        <w:rPr>
          <w:rFonts w:cs="Times New Roman"/>
          <w:szCs w:val="24"/>
        </w:rPr>
        <w:id w:val="25447675"/>
        <w:lock w:val="sdtContentLocked"/>
        <w:placeholder>
          <w:docPart w:val="BF5DE37566DD4B3A9D53214DD0C6848E"/>
        </w:placeholder>
        <w:showingPlcHdr/>
      </w:sdtPr>
      <w:sdtEndPr/>
      <w:sdtContent>
        <w:p w14:paraId="664CF006" w14:textId="77777777" w:rsidR="003C1EF2" w:rsidRDefault="00C2284A" w:rsidP="00C2284A">
          <w:pPr>
            <w:rPr>
              <w:rFonts w:cs="Times New Roman"/>
              <w:szCs w:val="24"/>
            </w:rPr>
          </w:pPr>
          <w:r>
            <w:rPr>
              <w:rFonts w:cs="Times New Roman"/>
              <w:szCs w:val="24"/>
            </w:rPr>
            <w:t>Rīgā</w:t>
          </w:r>
        </w:p>
      </w:sdtContent>
    </w:sdt>
    <w:bookmarkStart w:id="1" w:name="_Hlk164408035"/>
    <w:bookmarkStart w:id="2" w:name="_Hlk164346798"/>
    <w:p w14:paraId="30A11303" w14:textId="2EFE59A9" w:rsidR="00C2284A" w:rsidRDefault="00911D29" w:rsidP="00C2284A">
      <w:pPr>
        <w:spacing w:before="240" w:after="240"/>
        <w:rPr>
          <w:rFonts w:cs="Times New Roman"/>
          <w:b/>
          <w:szCs w:val="24"/>
        </w:rPr>
      </w:pPr>
      <w:sdt>
        <w:sdtPr>
          <w:rPr>
            <w:rFonts w:cs="Times New Roman"/>
            <w:b/>
            <w:szCs w:val="24"/>
          </w:rPr>
          <w:alias w:val="Nosaukums"/>
          <w:tag w:val="Nosaukums"/>
          <w:id w:val="25447728"/>
          <w:placeholder>
            <w:docPart w:val="8C01BBFC5B17433C869244EDDAD1ECCF"/>
          </w:placeholder>
        </w:sdtPr>
        <w:sdtEndPr/>
        <w:sdtContent>
          <w:r w:rsidR="004D3CDD">
            <w:rPr>
              <w:rFonts w:cs="Times New Roman"/>
              <w:b/>
              <w:szCs w:val="24"/>
            </w:rPr>
            <w:t>N</w:t>
          </w:r>
          <w:r w:rsidR="009D19D8" w:rsidRPr="009D19D8">
            <w:rPr>
              <w:rFonts w:cs="Times New Roman"/>
              <w:b/>
              <w:szCs w:val="24"/>
            </w:rPr>
            <w:t xml:space="preserve">oteikumi par </w:t>
          </w:r>
          <w:r w:rsidR="005355C8" w:rsidRPr="009D19D8">
            <w:rPr>
              <w:rFonts w:cs="Times New Roman"/>
              <w:b/>
              <w:szCs w:val="24"/>
            </w:rPr>
            <w:t>alternatīvo ieguldījumu fondu pārvaldniek</w:t>
          </w:r>
          <w:r w:rsidR="00174E73">
            <w:rPr>
              <w:rFonts w:cs="Times New Roman"/>
              <w:b/>
              <w:szCs w:val="24"/>
            </w:rPr>
            <w:t>u</w:t>
          </w:r>
          <w:r w:rsidR="005355C8">
            <w:rPr>
              <w:rFonts w:cs="Times New Roman"/>
              <w:b/>
              <w:szCs w:val="24"/>
            </w:rPr>
            <w:t xml:space="preserve"> un</w:t>
          </w:r>
          <w:r w:rsidR="005355C8" w:rsidRPr="009D19D8">
            <w:rPr>
              <w:rFonts w:cs="Times New Roman"/>
              <w:b/>
              <w:szCs w:val="24"/>
            </w:rPr>
            <w:t xml:space="preserve"> </w:t>
          </w:r>
          <w:r w:rsidR="009D19D8" w:rsidRPr="009D19D8">
            <w:rPr>
              <w:rFonts w:cs="Times New Roman"/>
              <w:b/>
              <w:szCs w:val="24"/>
            </w:rPr>
            <w:t>ieguldījumu pārvaldes sabiedrīb</w:t>
          </w:r>
          <w:r w:rsidR="00174E73">
            <w:rPr>
              <w:rFonts w:cs="Times New Roman"/>
              <w:b/>
              <w:szCs w:val="24"/>
            </w:rPr>
            <w:t>u</w:t>
          </w:r>
          <w:r w:rsidR="009D19D8" w:rsidRPr="009D19D8">
            <w:rPr>
              <w:rFonts w:cs="Times New Roman"/>
              <w:b/>
              <w:szCs w:val="24"/>
            </w:rPr>
            <w:t xml:space="preserve"> atalgojuma </w:t>
          </w:r>
          <w:r w:rsidR="004D3CDD">
            <w:rPr>
              <w:rFonts w:cs="Times New Roman"/>
              <w:b/>
              <w:szCs w:val="24"/>
            </w:rPr>
            <w:t>politiku un praksi</w:t>
          </w:r>
        </w:sdtContent>
      </w:sdt>
      <w:bookmarkEnd w:id="1"/>
    </w:p>
    <w:bookmarkEnd w:id="2"/>
    <w:p w14:paraId="2E632518" w14:textId="77777777" w:rsidR="00C2284A" w:rsidRDefault="00911D29" w:rsidP="00DB385B">
      <w:pPr>
        <w:jc w:val="right"/>
        <w:rPr>
          <w:rFonts w:cs="Times New Roman"/>
          <w:szCs w:val="24"/>
        </w:rPr>
      </w:pPr>
      <w:sdt>
        <w:sdtPr>
          <w:rPr>
            <w:rFonts w:cs="Times New Roman"/>
            <w:color w:val="808080"/>
            <w:szCs w:val="24"/>
          </w:rPr>
          <w:id w:val="32932717"/>
          <w:lock w:val="sdtContentLocked"/>
          <w:placeholder>
            <w:docPart w:val="841EE5B51BDB47139D6D63A41ED17CB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DBA5A6257064C8FAF44CE02CF44F30F"/>
          </w:placeholder>
          <w:showingPlcHdr/>
        </w:sdtPr>
        <w:sdtEndPr/>
        <w:sdtContent>
          <w:r w:rsidR="00301089">
            <w:rPr>
              <w:rFonts w:cs="Times New Roman"/>
              <w:szCs w:val="24"/>
            </w:rPr>
            <w:t>saskaņā ar</w:t>
          </w:r>
        </w:sdtContent>
      </w:sdt>
    </w:p>
    <w:sdt>
      <w:sdtPr>
        <w:rPr>
          <w:rFonts w:cs="Times New Roman"/>
          <w:szCs w:val="24"/>
        </w:rPr>
        <w:id w:val="25447800"/>
        <w:placeholder>
          <w:docPart w:val="1BA0230B88E04E379AED5829129900EC"/>
        </w:placeholder>
      </w:sdtPr>
      <w:sdtEndPr/>
      <w:sdtContent>
        <w:p w14:paraId="7A5D972E" w14:textId="2E58E69C" w:rsidR="009D19D8" w:rsidRPr="009D19D8" w:rsidRDefault="009D19D8" w:rsidP="009D19D8">
          <w:pPr>
            <w:jc w:val="right"/>
            <w:rPr>
              <w:rFonts w:cs="Times New Roman"/>
              <w:szCs w:val="24"/>
            </w:rPr>
          </w:pPr>
          <w:r w:rsidRPr="009D19D8">
            <w:rPr>
              <w:rFonts w:cs="Times New Roman"/>
              <w:szCs w:val="24"/>
            </w:rPr>
            <w:t>Alternatīvo ieguldījumu fondu</w:t>
          </w:r>
        </w:p>
        <w:p w14:paraId="737DCB13" w14:textId="77777777" w:rsidR="009D19D8" w:rsidRPr="009D19D8" w:rsidRDefault="009D19D8" w:rsidP="009D19D8">
          <w:pPr>
            <w:jc w:val="right"/>
            <w:rPr>
              <w:rFonts w:cs="Times New Roman"/>
              <w:szCs w:val="24"/>
            </w:rPr>
          </w:pPr>
          <w:r w:rsidRPr="009D19D8">
            <w:rPr>
              <w:rFonts w:cs="Times New Roman"/>
              <w:szCs w:val="24"/>
            </w:rPr>
            <w:t>un to pārvaldnieku likuma</w:t>
          </w:r>
        </w:p>
        <w:p w14:paraId="349AF5BC" w14:textId="22FA820B" w:rsidR="001E1378" w:rsidRDefault="009D19D8" w:rsidP="009D19D8">
          <w:pPr>
            <w:jc w:val="right"/>
            <w:rPr>
              <w:rFonts w:cs="Times New Roman"/>
              <w:szCs w:val="24"/>
            </w:rPr>
          </w:pPr>
          <w:r w:rsidRPr="009D19D8">
            <w:rPr>
              <w:rFonts w:cs="Times New Roman"/>
              <w:szCs w:val="24"/>
            </w:rPr>
            <w:t>24.</w:t>
          </w:r>
          <w:r w:rsidR="007E0302">
            <w:rPr>
              <w:rFonts w:cs="Times New Roman"/>
              <w:szCs w:val="24"/>
            </w:rPr>
            <w:t> </w:t>
          </w:r>
          <w:r w:rsidRPr="009D19D8">
            <w:rPr>
              <w:rFonts w:cs="Times New Roman"/>
              <w:szCs w:val="24"/>
            </w:rPr>
            <w:t>panta otro daļu</w:t>
          </w:r>
          <w:r w:rsidR="00CE4A53">
            <w:rPr>
              <w:rFonts w:cs="Times New Roman"/>
              <w:szCs w:val="24"/>
            </w:rPr>
            <w:t xml:space="preserve"> un </w:t>
          </w:r>
        </w:p>
        <w:p w14:paraId="3BE49269" w14:textId="72118238" w:rsidR="009D19D8" w:rsidRPr="009D19D8" w:rsidRDefault="001E1378" w:rsidP="009D19D8">
          <w:pPr>
            <w:jc w:val="right"/>
            <w:rPr>
              <w:rFonts w:cs="Times New Roman"/>
              <w:szCs w:val="24"/>
            </w:rPr>
          </w:pPr>
          <w:r>
            <w:rPr>
              <w:rFonts w:cs="Times New Roman"/>
              <w:szCs w:val="24"/>
            </w:rPr>
            <w:t>81.</w:t>
          </w:r>
          <w:r w:rsidR="007E0302">
            <w:rPr>
              <w:rFonts w:cs="Times New Roman"/>
              <w:szCs w:val="24"/>
            </w:rPr>
            <w:t> </w:t>
          </w:r>
          <w:r>
            <w:rPr>
              <w:rFonts w:cs="Times New Roman"/>
              <w:szCs w:val="24"/>
            </w:rPr>
            <w:t>panta astoto daļu</w:t>
          </w:r>
        </w:p>
        <w:p w14:paraId="4AD19F62" w14:textId="77777777" w:rsidR="009D19D8" w:rsidRPr="009D19D8" w:rsidRDefault="009D19D8" w:rsidP="009D19D8">
          <w:pPr>
            <w:jc w:val="right"/>
            <w:rPr>
              <w:rFonts w:cs="Times New Roman"/>
              <w:szCs w:val="24"/>
            </w:rPr>
          </w:pPr>
          <w:r w:rsidRPr="009D19D8">
            <w:rPr>
              <w:rFonts w:cs="Times New Roman"/>
              <w:szCs w:val="24"/>
            </w:rPr>
            <w:t>un Ieguldījumu pārvaldes sabiedrību likuma</w:t>
          </w:r>
        </w:p>
        <w:p w14:paraId="04CC6679" w14:textId="3C003140" w:rsidR="001E1378" w:rsidRDefault="009D19D8" w:rsidP="009D19D8">
          <w:pPr>
            <w:jc w:val="right"/>
            <w:rPr>
              <w:rFonts w:cs="Times New Roman"/>
              <w:szCs w:val="24"/>
            </w:rPr>
          </w:pPr>
          <w:r w:rsidRPr="009D19D8">
            <w:rPr>
              <w:rFonts w:cs="Times New Roman"/>
              <w:szCs w:val="24"/>
            </w:rPr>
            <w:t>13.</w:t>
          </w:r>
          <w:r w:rsidR="007E0302">
            <w:rPr>
              <w:rFonts w:cs="Times New Roman"/>
              <w:szCs w:val="24"/>
            </w:rPr>
            <w:t> </w:t>
          </w:r>
          <w:r w:rsidRPr="009D19D8">
            <w:rPr>
              <w:rFonts w:cs="Times New Roman"/>
              <w:szCs w:val="24"/>
            </w:rPr>
            <w:t>panta sešpadsmito daļu</w:t>
          </w:r>
          <w:r w:rsidR="001E1378">
            <w:rPr>
              <w:rFonts w:cs="Times New Roman"/>
              <w:szCs w:val="24"/>
            </w:rPr>
            <w:t xml:space="preserve"> un </w:t>
          </w:r>
        </w:p>
        <w:p w14:paraId="2C92DCBE" w14:textId="21D374DA" w:rsidR="00301089" w:rsidRDefault="001E1378" w:rsidP="009D19D8">
          <w:pPr>
            <w:jc w:val="right"/>
            <w:rPr>
              <w:rFonts w:cs="Times New Roman"/>
              <w:szCs w:val="24"/>
            </w:rPr>
          </w:pPr>
          <w:r>
            <w:rPr>
              <w:rFonts w:cs="Times New Roman"/>
              <w:szCs w:val="24"/>
            </w:rPr>
            <w:t>78.</w:t>
          </w:r>
          <w:r w:rsidR="007E0302">
            <w:rPr>
              <w:rFonts w:cs="Times New Roman"/>
              <w:szCs w:val="24"/>
            </w:rPr>
            <w:t> </w:t>
          </w:r>
          <w:r>
            <w:rPr>
              <w:rFonts w:cs="Times New Roman"/>
              <w:szCs w:val="24"/>
            </w:rPr>
            <w:t>panta septīto daļu</w:t>
          </w:r>
        </w:p>
      </w:sdtContent>
    </w:sdt>
    <w:p w14:paraId="26D3271A" w14:textId="77777777" w:rsidR="00840034" w:rsidRDefault="00840034" w:rsidP="005E52CC">
      <w:pPr>
        <w:pStyle w:val="NAnodala"/>
      </w:pPr>
      <w:r w:rsidRPr="00796018">
        <w:t>Vispārīgie jautājumi</w:t>
      </w:r>
    </w:p>
    <w:p w14:paraId="2145C46B" w14:textId="753017A1" w:rsidR="005928A6" w:rsidRPr="0010644D" w:rsidRDefault="002C15BE" w:rsidP="004D3CDD">
      <w:pPr>
        <w:pStyle w:val="NApunkts1"/>
      </w:pPr>
      <w:r w:rsidRPr="0010644D">
        <w:t>Noteikumi nosaka</w:t>
      </w:r>
      <w:r w:rsidR="004D3CDD" w:rsidRPr="0010644D">
        <w:t xml:space="preserve"> </w:t>
      </w:r>
      <w:r w:rsidR="00232966" w:rsidRPr="0010644D">
        <w:t>p</w:t>
      </w:r>
      <w:r w:rsidRPr="0010644D">
        <w:t>rasības</w:t>
      </w:r>
      <w:r w:rsidR="004D4D52" w:rsidRPr="0010644D">
        <w:t xml:space="preserve"> atalgojuma politika</w:t>
      </w:r>
      <w:r w:rsidR="0010644D" w:rsidRPr="0010644D">
        <w:t>i</w:t>
      </w:r>
      <w:r w:rsidR="004D4D52" w:rsidRPr="0010644D">
        <w:t xml:space="preserve"> un prakse</w:t>
      </w:r>
      <w:r w:rsidR="0010644D" w:rsidRPr="0010644D">
        <w:t>i</w:t>
      </w:r>
      <w:r w:rsidR="008F6F08" w:rsidRPr="0010644D">
        <w:t xml:space="preserve"> un informācijas atklāšanai par t</w:t>
      </w:r>
      <w:r w:rsidR="0010644D" w:rsidRPr="0010644D">
        <w:t>ām</w:t>
      </w:r>
      <w:r w:rsidR="005928A6" w:rsidRPr="0010644D">
        <w:t>:</w:t>
      </w:r>
    </w:p>
    <w:p w14:paraId="74391318" w14:textId="77EBF50F" w:rsidR="005928A6" w:rsidRDefault="003C7FEA" w:rsidP="00684697">
      <w:pPr>
        <w:pStyle w:val="NApunkts2"/>
        <w:keepLines w:val="0"/>
      </w:pPr>
      <w:r w:rsidRPr="0010644D">
        <w:t xml:space="preserve"> </w:t>
      </w:r>
      <w:r w:rsidR="00177BCC" w:rsidRPr="0010644D">
        <w:t>Latvijas Republikā licencētiem alternatīvo ieguldījumu fondu pārvaldniekiem</w:t>
      </w:r>
      <w:r w:rsidR="00177BCC" w:rsidRPr="00177BCC">
        <w:t xml:space="preserve"> (</w:t>
      </w:r>
      <w:r w:rsidR="00697C35">
        <w:t>turpmāk</w:t>
      </w:r>
      <w:r w:rsidR="00684697">
        <w:t> </w:t>
      </w:r>
      <w:r w:rsidR="00177BCC" w:rsidRPr="00177BCC">
        <w:t xml:space="preserve">– pārvaldnieks) </w:t>
      </w:r>
      <w:r w:rsidR="004D4D52">
        <w:t xml:space="preserve">attiecībā uz </w:t>
      </w:r>
      <w:r w:rsidR="0027781D">
        <w:t xml:space="preserve">to </w:t>
      </w:r>
      <w:r w:rsidR="004D4D52" w:rsidRPr="00177BCC">
        <w:t xml:space="preserve">amatpersonām vai darbiniekiem, kuru profesionālā darbība būtiski ietekmē pārvaldnieka vai tā pārvaldē esoša fonda riska profilu, un attiecībā uz tiem </w:t>
      </w:r>
      <w:r w:rsidR="00174E73">
        <w:t>pārvaldnieka</w:t>
      </w:r>
      <w:r w:rsidR="0027781D">
        <w:t xml:space="preserve"> </w:t>
      </w:r>
      <w:r w:rsidR="004D4D52" w:rsidRPr="00177BCC">
        <w:t xml:space="preserve">darbiniekiem, kuri sniedz Alternatīvo ieguldījumu fondu un to pārvaldnieku likuma </w:t>
      </w:r>
      <w:hyperlink r:id="rId8" w:anchor="p5" w:history="1">
        <w:r w:rsidR="004D4D52" w:rsidRPr="00177BCC">
          <w:t>5.</w:t>
        </w:r>
        <w:r w:rsidR="004D4D52">
          <w:t> </w:t>
        </w:r>
        <w:r w:rsidR="004D4D52" w:rsidRPr="00177BCC">
          <w:t>panta</w:t>
        </w:r>
      </w:hyperlink>
      <w:r w:rsidR="007E0302">
        <w:t xml:space="preserve"> </w:t>
      </w:r>
      <w:r w:rsidR="004D4D52" w:rsidRPr="00177BCC">
        <w:t>septītajā un astotajā daļā minētos pakalpojumus</w:t>
      </w:r>
      <w:r w:rsidR="004D4D52">
        <w:t>;</w:t>
      </w:r>
    </w:p>
    <w:p w14:paraId="1AA825BE" w14:textId="16747530" w:rsidR="004E303D" w:rsidRPr="00177BCC" w:rsidRDefault="00177BCC" w:rsidP="00FD0C6A">
      <w:pPr>
        <w:pStyle w:val="NApunkts2"/>
        <w:keepLines w:val="0"/>
      </w:pPr>
      <w:r w:rsidRPr="00177BCC">
        <w:t>Latvijas Republikā licencētām ieguldījumu pārvaldes sabiedrībām (</w:t>
      </w:r>
      <w:r w:rsidR="00697C35">
        <w:t>turpmāk</w:t>
      </w:r>
      <w:r w:rsidR="007E0302">
        <w:t> </w:t>
      </w:r>
      <w:r w:rsidRPr="00177BCC">
        <w:t xml:space="preserve">– ieguldījumu pārvaldes sabiedrība) </w:t>
      </w:r>
      <w:r w:rsidR="004D4D52">
        <w:t>attiecībā uz vis</w:t>
      </w:r>
      <w:r w:rsidR="00EB79EC">
        <w:t xml:space="preserve">ām </w:t>
      </w:r>
      <w:r w:rsidR="0027781D">
        <w:t xml:space="preserve">to </w:t>
      </w:r>
      <w:r w:rsidR="00EB79EC">
        <w:t>amatpersonām un</w:t>
      </w:r>
      <w:r w:rsidR="004D4D52">
        <w:t xml:space="preserve"> darbiniekiem</w:t>
      </w:r>
      <w:r w:rsidR="00174E73">
        <w:t>,</w:t>
      </w:r>
      <w:r w:rsidR="00232966">
        <w:t xml:space="preserve"> </w:t>
      </w:r>
      <w:r w:rsidR="004D4D52">
        <w:t>tai skaitā</w:t>
      </w:r>
      <w:r w:rsidRPr="00177BCC">
        <w:t xml:space="preserve"> </w:t>
      </w:r>
      <w:r w:rsidR="005F0D3E">
        <w:t>tiem</w:t>
      </w:r>
      <w:r w:rsidRPr="00177BCC">
        <w:t xml:space="preserve">, kuru profesionālā darbība būtiski ietekmē </w:t>
      </w:r>
      <w:r w:rsidR="004D4D52">
        <w:t>ieguldījumu pārvaldes sabiedrības</w:t>
      </w:r>
      <w:r w:rsidR="004D4D52" w:rsidRPr="00177BCC">
        <w:t xml:space="preserve"> </w:t>
      </w:r>
      <w:r w:rsidRPr="00177BCC">
        <w:t>vai tā</w:t>
      </w:r>
      <w:r w:rsidR="004D4D52">
        <w:t>s</w:t>
      </w:r>
      <w:r w:rsidRPr="00177BCC">
        <w:t xml:space="preserve"> pārvaldē esoša fonda riska profilu,</w:t>
      </w:r>
      <w:r w:rsidR="004D4D52">
        <w:t xml:space="preserve"> un</w:t>
      </w:r>
      <w:r w:rsidR="00F604A8">
        <w:t xml:space="preserve"> </w:t>
      </w:r>
      <w:r w:rsidR="0027781D">
        <w:t>tiem</w:t>
      </w:r>
      <w:r w:rsidR="00FD0C6A">
        <w:t>,</w:t>
      </w:r>
      <w:r w:rsidR="0027781D">
        <w:t xml:space="preserve"> </w:t>
      </w:r>
      <w:r w:rsidR="004D4D52">
        <w:t xml:space="preserve">kuri sniedz Ieguldījumu pārvaldes sabiedrību likuma </w:t>
      </w:r>
      <w:hyperlink r:id="rId9" w:anchor="p5" w:history="1">
        <w:r w:rsidR="004D4D52" w:rsidRPr="00D34E26">
          <w:t>5.</w:t>
        </w:r>
        <w:r w:rsidR="008F6F08" w:rsidRPr="00D34E26">
          <w:t> </w:t>
        </w:r>
        <w:r w:rsidR="004D4D52" w:rsidRPr="00D34E26">
          <w:t>panta</w:t>
        </w:r>
      </w:hyperlink>
      <w:r w:rsidR="00B329D4">
        <w:t xml:space="preserve"> </w:t>
      </w:r>
      <w:r w:rsidR="004D4D52" w:rsidRPr="004D4D52">
        <w:t>otrajā un trešajā daļā minētos ieguldījumu pakalpojumus</w:t>
      </w:r>
      <w:r w:rsidR="00B91E53">
        <w:t>.</w:t>
      </w:r>
      <w:r w:rsidR="002C15BE">
        <w:t xml:space="preserve"> </w:t>
      </w:r>
    </w:p>
    <w:p w14:paraId="65CA9033" w14:textId="126A055C" w:rsidR="002C15BE" w:rsidRDefault="002C15BE" w:rsidP="004E303D">
      <w:pPr>
        <w:pStyle w:val="NApunkts1"/>
      </w:pPr>
      <w:r>
        <w:t>Noteikumos lietoti</w:t>
      </w:r>
      <w:r w:rsidR="0070458A">
        <w:t xml:space="preserve"> šādi</w:t>
      </w:r>
      <w:r>
        <w:t xml:space="preserve"> termini:</w:t>
      </w:r>
    </w:p>
    <w:p w14:paraId="13C4739D" w14:textId="2DC7A231" w:rsidR="0027781D" w:rsidRDefault="0027781D" w:rsidP="00684697">
      <w:pPr>
        <w:pStyle w:val="NApunkts2"/>
        <w:keepLines w:val="0"/>
      </w:pPr>
      <w:r>
        <w:t>sabiedrība</w:t>
      </w:r>
      <w:r w:rsidR="007E0302">
        <w:t> </w:t>
      </w:r>
      <w:r>
        <w:t>– pārvaldnieks vai ieguldījumu pārvaldes sabiedrība;</w:t>
      </w:r>
    </w:p>
    <w:p w14:paraId="26BE5D0E" w14:textId="583CFB36" w:rsidR="00A40A9E" w:rsidRDefault="00A40A9E" w:rsidP="00684697">
      <w:pPr>
        <w:pStyle w:val="NApunkts2"/>
        <w:keepLines w:val="0"/>
      </w:pPr>
      <w:r>
        <w:t>iekšējās kontroles funkcijas</w:t>
      </w:r>
      <w:r w:rsidR="007E0302">
        <w:t> </w:t>
      </w:r>
      <w:r>
        <w:t>– sabiedrībā veiktās risku kontroles, darbības atbilstības kontroles un iekšējā audita funkcijas;</w:t>
      </w:r>
    </w:p>
    <w:p w14:paraId="49A0D9BC" w14:textId="0AAB3D00" w:rsidR="00A40A9E" w:rsidRDefault="00A40A9E" w:rsidP="00684697">
      <w:pPr>
        <w:pStyle w:val="NApunkts2"/>
        <w:keepLines w:val="0"/>
      </w:pPr>
      <w:r>
        <w:t>būtiska atalgojuma mainīgā daļa</w:t>
      </w:r>
      <w:r w:rsidR="007E0302">
        <w:t> </w:t>
      </w:r>
      <w:r>
        <w:t>– 70–100</w:t>
      </w:r>
      <w:r w:rsidR="007E0302">
        <w:t> </w:t>
      </w:r>
      <w:r>
        <w:t xml:space="preserve">procentu (neieskaitot) no </w:t>
      </w:r>
      <w:r w:rsidR="009D757B">
        <w:t xml:space="preserve">sabiedrības </w:t>
      </w:r>
      <w:r>
        <w:t>amatpersonai vai darbiniekam noteiktās atalgojuma nemainīgās daļas pārskata gadā;</w:t>
      </w:r>
    </w:p>
    <w:p w14:paraId="3ACDF057" w14:textId="7E2B6F2E" w:rsidR="00A40A9E" w:rsidRPr="000307DB" w:rsidRDefault="00A40A9E" w:rsidP="00684697">
      <w:pPr>
        <w:pStyle w:val="NApunkts2"/>
        <w:keepLines w:val="0"/>
      </w:pPr>
      <w:r>
        <w:t>īpaši augsta atalgojuma mainīgā daļa</w:t>
      </w:r>
      <w:r w:rsidR="007E0302">
        <w:t> </w:t>
      </w:r>
      <w:r>
        <w:t>– 100</w:t>
      </w:r>
      <w:r w:rsidR="007E0302">
        <w:t> </w:t>
      </w:r>
      <w:r>
        <w:t xml:space="preserve">(ieskaitot) un vairāk procentu no </w:t>
      </w:r>
      <w:r w:rsidR="009D757B">
        <w:t xml:space="preserve">sabiedrības </w:t>
      </w:r>
      <w:r>
        <w:t>amatpersonai vai darbiniekam noteiktās atalgojuma nemainīgās daļas pārskata g</w:t>
      </w:r>
      <w:r w:rsidRPr="000307DB">
        <w:t>adā;</w:t>
      </w:r>
    </w:p>
    <w:p w14:paraId="7AEADC63" w14:textId="51109A3E" w:rsidR="009D757B" w:rsidRDefault="009D757B" w:rsidP="00684697">
      <w:pPr>
        <w:pStyle w:val="NApunkts2"/>
        <w:keepLines w:val="0"/>
      </w:pPr>
      <w:r w:rsidRPr="000307DB">
        <w:t>fonds</w:t>
      </w:r>
      <w:r w:rsidR="007E0302">
        <w:t> </w:t>
      </w:r>
      <w:r w:rsidRPr="000307DB">
        <w:t>– alternatīvo ieguldījumu fonds</w:t>
      </w:r>
      <w:r w:rsidR="007E0302">
        <w:t xml:space="preserve"> </w:t>
      </w:r>
      <w:hyperlink r:id="rId10" w:tgtFrame="_blank" w:history="1">
        <w:r w:rsidRPr="000307DB">
          <w:t>Alternatīvo ieguldījumu fondu un to pārvaldnieku likuma</w:t>
        </w:r>
      </w:hyperlink>
      <w:r w:rsidR="007E0302">
        <w:t xml:space="preserve"> </w:t>
      </w:r>
      <w:r w:rsidRPr="000307DB">
        <w:t>izpratnē vai ieguldījumu fonds</w:t>
      </w:r>
      <w:r w:rsidR="007E0302">
        <w:t xml:space="preserve"> </w:t>
      </w:r>
      <w:hyperlink r:id="rId11" w:tgtFrame="_blank" w:history="1">
        <w:r w:rsidRPr="000307DB">
          <w:t>Ieguldījumu pārvaldes sabiedrību likuma</w:t>
        </w:r>
      </w:hyperlink>
      <w:r w:rsidR="007E0302">
        <w:t xml:space="preserve"> </w:t>
      </w:r>
      <w:r>
        <w:t>izpratnē;</w:t>
      </w:r>
    </w:p>
    <w:p w14:paraId="098A1ACB" w14:textId="196740A9" w:rsidR="00A40A9E" w:rsidRPr="000307DB" w:rsidRDefault="00A40A9E" w:rsidP="00684697">
      <w:pPr>
        <w:pStyle w:val="NApunkts2"/>
        <w:keepLines w:val="0"/>
      </w:pPr>
      <w:r w:rsidRPr="000307DB">
        <w:lastRenderedPageBreak/>
        <w:t>ieguldījumu portfelis</w:t>
      </w:r>
      <w:r w:rsidR="007E0302">
        <w:t> </w:t>
      </w:r>
      <w:r w:rsidRPr="000307DB">
        <w:t>– sabiedrības pārvaldē esošie aktīvi, kurus veido viens vai vairāki elementi: fonds, valsts fondēto pensiju shēmas līdzekļu ieguldījumu plāns, privātā pensiju fonda izveidots pensiju plāns vai individuāla ieguldītāja finanšu instrumentu portfelis;</w:t>
      </w:r>
    </w:p>
    <w:p w14:paraId="369B84AB" w14:textId="55FB2FDA" w:rsidR="00A40A9E" w:rsidRPr="000307DB" w:rsidRDefault="00A40A9E" w:rsidP="00684697">
      <w:pPr>
        <w:pStyle w:val="NApunkts2"/>
        <w:keepLines w:val="0"/>
      </w:pPr>
      <w:r w:rsidRPr="000307DB">
        <w:t>riska profilu ietekmējošie amati</w:t>
      </w:r>
      <w:r w:rsidR="007E0302">
        <w:t> </w:t>
      </w:r>
      <w:r w:rsidRPr="000307DB">
        <w:t xml:space="preserve">– sabiedrības vai tās pārvaldē esoša ieguldījumu portfeļa riska profilu ietekmējošie amati, kuros nodarbinātas visas tās </w:t>
      </w:r>
      <w:r w:rsidR="009D757B" w:rsidRPr="000307DB">
        <w:t xml:space="preserve">sabiedrības </w:t>
      </w:r>
      <w:r w:rsidRPr="000307DB">
        <w:t xml:space="preserve">amatpersonas vai darbinieki, kuru profesionālā darbība individuāli vai kolektīvi būtiski ietekmē sabiedrības vai tās pārvaldē esoša ieguldījumu portfeļa riska profilu, </w:t>
      </w:r>
      <w:r w:rsidR="00271920">
        <w:t>tai skaitā</w:t>
      </w:r>
      <w:r w:rsidRPr="000307DB">
        <w:t>:</w:t>
      </w:r>
    </w:p>
    <w:p w14:paraId="073D60B4" w14:textId="3B0EC1DC" w:rsidR="00A40A9E" w:rsidRPr="009208C8" w:rsidRDefault="00A40A9E" w:rsidP="00684697">
      <w:pPr>
        <w:pStyle w:val="NApunkts3"/>
        <w:keepLines w:val="0"/>
      </w:pPr>
      <w:r w:rsidRPr="009208C8">
        <w:t>padomes locekļi un valdes locekļi;</w:t>
      </w:r>
    </w:p>
    <w:p w14:paraId="30E4ED40" w14:textId="77777777" w:rsidR="002B782B" w:rsidRPr="009208C8" w:rsidRDefault="002B782B" w:rsidP="002B782B">
      <w:pPr>
        <w:pStyle w:val="NApunkts3"/>
        <w:keepLines w:val="0"/>
      </w:pPr>
      <w:r w:rsidRPr="009208C8">
        <w:t>amati, kuros nodarbinātie darbinieki vai amatpersonas ir atbildīgi par iekšējās kontroles funkciju veikšanu sabiedrībā;</w:t>
      </w:r>
    </w:p>
    <w:p w14:paraId="7544264B" w14:textId="4A625DA1" w:rsidR="00A40A9E" w:rsidRPr="009208C8" w:rsidRDefault="00A40A9E" w:rsidP="00911D29">
      <w:pPr>
        <w:pStyle w:val="NApunkts3"/>
        <w:keepLines w:val="0"/>
      </w:pPr>
      <w:r w:rsidRPr="009208C8">
        <w:t>augstākā līmeņa vadītāji, k</w:t>
      </w:r>
      <w:r w:rsidR="00271920" w:rsidRPr="009208C8">
        <w:t>uru amati</w:t>
      </w:r>
      <w:r w:rsidRPr="009208C8">
        <w:t xml:space="preserve"> nav amati šo noteikumu</w:t>
      </w:r>
      <w:r w:rsidR="007E0302" w:rsidRPr="009208C8">
        <w:t xml:space="preserve"> </w:t>
      </w:r>
      <w:r w:rsidR="00D5791F" w:rsidRPr="009208C8">
        <w:t>2.</w:t>
      </w:r>
      <w:hyperlink r:id="rId12" w:anchor="p3.9" w:history="1">
        <w:r w:rsidR="009D757B" w:rsidRPr="009208C8">
          <w:t>7</w:t>
        </w:r>
      </w:hyperlink>
      <w:r w:rsidR="00271920" w:rsidRPr="009208C8">
        <w:t>.</w:t>
      </w:r>
      <w:hyperlink r:id="rId13" w:anchor="p4" w:history="1">
        <w:r w:rsidR="002B782B">
          <w:t>2</w:t>
        </w:r>
        <w:r w:rsidRPr="009208C8">
          <w:t>.</w:t>
        </w:r>
        <w:r w:rsidR="007E0302" w:rsidRPr="009208C8">
          <w:t> </w:t>
        </w:r>
        <w:r w:rsidR="009D757B" w:rsidRPr="009208C8">
          <w:t>apakš</w:t>
        </w:r>
        <w:r w:rsidRPr="009208C8">
          <w:t>punkta</w:t>
        </w:r>
      </w:hyperlink>
      <w:r w:rsidR="007E0302" w:rsidRPr="009208C8">
        <w:t xml:space="preserve"> </w:t>
      </w:r>
      <w:r w:rsidRPr="009208C8">
        <w:t>izpratnē;</w:t>
      </w:r>
    </w:p>
    <w:p w14:paraId="47E633F8" w14:textId="6E466469" w:rsidR="00A40A9E" w:rsidRDefault="00A40A9E" w:rsidP="00684697">
      <w:pPr>
        <w:pStyle w:val="NApunkts3"/>
        <w:keepLines w:val="0"/>
      </w:pPr>
      <w:r w:rsidRPr="009208C8">
        <w:t>amati, kur</w:t>
      </w:r>
      <w:r w:rsidR="00C1072C" w:rsidRPr="009208C8">
        <w:t>os nodarbināto darbinieku vai amatperson</w:t>
      </w:r>
      <w:r w:rsidRPr="009208C8">
        <w:t>u atalgojums ir vienāds ar vai lielāks par sabiedrības</w:t>
      </w:r>
      <w:r w:rsidR="002B782B">
        <w:t xml:space="preserve"> padomes un valdes locekļiem un </w:t>
      </w:r>
      <w:r w:rsidR="002B782B" w:rsidRPr="009208C8">
        <w:t>augstākā līmeņa vadītāj</w:t>
      </w:r>
      <w:r w:rsidR="002B782B">
        <w:t>iem piešķirtā vidējā atalgojuma līmeni</w:t>
      </w:r>
      <w:r w:rsidRPr="009208C8">
        <w:t>;</w:t>
      </w:r>
    </w:p>
    <w:p w14:paraId="5868A89F" w14:textId="6D98C9DD" w:rsidR="009208C8" w:rsidRDefault="002B782B" w:rsidP="00911D29">
      <w:pPr>
        <w:pStyle w:val="NApunkts3"/>
      </w:pPr>
      <w:r>
        <w:t>citi amati, kuros nodarbinātās sabiedrības amatpersonas vai darbinieki pēc sabiedrības risku izvērtējuma ar savu profesionālo darbību būtiski ietekmē sabiedrības vai tās pārvaldē esoša ieguldījumu portfeļa riska profilu, piemēram, ieguldījumu daļas vadītājs, personāla vadītājs, izplatīšanas (mārketinga) daļas vadītājs;</w:t>
      </w:r>
    </w:p>
    <w:p w14:paraId="526D4D75" w14:textId="304503EE" w:rsidR="0028232F" w:rsidRPr="0010644D" w:rsidRDefault="00A40A9E" w:rsidP="00911D29">
      <w:pPr>
        <w:pStyle w:val="NApunkts2"/>
      </w:pPr>
      <w:r>
        <w:t>ieguldījumu pakalpojumu sniedzēji</w:t>
      </w:r>
      <w:r w:rsidR="007E0302">
        <w:t> </w:t>
      </w:r>
      <w:r>
        <w:t>– sabiedrības darbinieki, k</w:t>
      </w:r>
      <w:r w:rsidR="00C1072C">
        <w:t>uri</w:t>
      </w:r>
      <w:r>
        <w:t xml:space="preserve"> ir iesaistīt</w:t>
      </w:r>
      <w:r w:rsidR="00C1072C">
        <w:t>i</w:t>
      </w:r>
      <w:r>
        <w:t xml:space="preserve"> ieguldījumu pakalpojumu sniegšanā saskaņā ar</w:t>
      </w:r>
      <w:r w:rsidR="007E0302">
        <w:t xml:space="preserve"> </w:t>
      </w:r>
      <w:hyperlink r:id="rId14" w:tgtFrame="_blank" w:history="1">
        <w:r w:rsidRPr="00A40A9E">
          <w:t>Alternatīvo ieguldījumu fondu un to pārvaldnieku likuma</w:t>
        </w:r>
      </w:hyperlink>
      <w:r w:rsidR="007E0302">
        <w:t xml:space="preserve"> </w:t>
      </w:r>
      <w:hyperlink r:id="rId15" w:anchor="p5" w:tgtFrame="_blank" w:history="1">
        <w:r w:rsidRPr="00A40A9E">
          <w:t>5.</w:t>
        </w:r>
        <w:r w:rsidR="007E0302">
          <w:t> </w:t>
        </w:r>
        <w:r w:rsidRPr="00A40A9E">
          <w:t>panta</w:t>
        </w:r>
      </w:hyperlink>
      <w:r w:rsidR="007E0302">
        <w:t xml:space="preserve"> </w:t>
      </w:r>
      <w:r>
        <w:t>septīto un astoto daļu vai ieguldījumu pakalpojumu vai blakuspakalpojumu sniegšan</w:t>
      </w:r>
      <w:r w:rsidR="00684697">
        <w:t>ā</w:t>
      </w:r>
      <w:r>
        <w:t xml:space="preserve"> saskaņā ar </w:t>
      </w:r>
      <w:hyperlink r:id="rId16" w:tgtFrame="_blank" w:history="1">
        <w:r w:rsidRPr="00A40A9E">
          <w:t>Ieguldījumu pārvaldes sabiedrību likuma</w:t>
        </w:r>
      </w:hyperlink>
      <w:r w:rsidR="007E0302">
        <w:t xml:space="preserve"> </w:t>
      </w:r>
      <w:hyperlink r:id="rId17" w:anchor="p5" w:tgtFrame="_blank" w:history="1">
        <w:r w:rsidRPr="00A40A9E">
          <w:t>5.</w:t>
        </w:r>
        <w:r w:rsidR="007E0302">
          <w:t> </w:t>
        </w:r>
        <w:r w:rsidRPr="00A40A9E">
          <w:t>panta</w:t>
        </w:r>
      </w:hyperlink>
      <w:r w:rsidR="007E0302">
        <w:t xml:space="preserve"> </w:t>
      </w:r>
      <w:r>
        <w:t xml:space="preserve">otro un trešo daļu, </w:t>
      </w:r>
      <w:r w:rsidR="00271920">
        <w:t>tai skaitā</w:t>
      </w:r>
      <w:r>
        <w:t xml:space="preserve"> klientu apkalpošanas speciālisti, pārdošanas speciālisti, finanšu analītiķi un cit</w:t>
      </w:r>
      <w:r w:rsidR="00C1072C">
        <w:t>i darbinieki</w:t>
      </w:r>
      <w:r>
        <w:t>, kur</w:t>
      </w:r>
      <w:r w:rsidR="00C1072C">
        <w:t>ie</w:t>
      </w:r>
      <w:r>
        <w:t xml:space="preserve">m ir būtiska ietekme uz šajā </w:t>
      </w:r>
      <w:r w:rsidR="00271920" w:rsidRPr="0010644D">
        <w:t>a</w:t>
      </w:r>
      <w:r w:rsidRPr="0010644D">
        <w:t>p</w:t>
      </w:r>
      <w:r w:rsidR="00271920" w:rsidRPr="0010644D">
        <w:t>akš</w:t>
      </w:r>
      <w:r w:rsidRPr="0010644D">
        <w:t>punktā minēto pakalpojumu kvalitāti.</w:t>
      </w:r>
    </w:p>
    <w:p w14:paraId="6A1F8FE9" w14:textId="532D5F93" w:rsidR="002F25F0" w:rsidRDefault="002F25F0" w:rsidP="00127D88">
      <w:pPr>
        <w:pStyle w:val="NApunkts1"/>
      </w:pPr>
      <w:r w:rsidRPr="002F25F0">
        <w:t>Sabiedrība nodrošina šo noteikumu prasību ievērošanu, ņemot vērā tās organizatorisko struktūru, darbības apjomu, veidus, sarežģītību un specifiku</w:t>
      </w:r>
      <w:r>
        <w:t xml:space="preserve">. </w:t>
      </w:r>
    </w:p>
    <w:p w14:paraId="78EC357C" w14:textId="54EE1ED2" w:rsidR="002F25F0" w:rsidRDefault="002F25F0" w:rsidP="002F25F0">
      <w:pPr>
        <w:pStyle w:val="NApunkts1"/>
      </w:pPr>
      <w:r>
        <w:t xml:space="preserve">Šo noteikumu prasības ir saistošas attiecībā uz visiem atalgojuma elementiem, ko darbiniekiem vai amatpersonām piešķir sabiedrība, jebkuru summu, kuru izmaksā no sabiedrības pārvaldē esoša ieguldījumu portfeļa, </w:t>
      </w:r>
      <w:r w:rsidR="001C06E6">
        <w:t>tai skaitā</w:t>
      </w:r>
      <w:r>
        <w:t xml:space="preserve"> fonda mantas, un kuru var attiecināt uz fonda pārvaldīšanas vai līdzvērtīgiem cita veida izdevumiem, ieskaitot papildu atlīdzību (</w:t>
      </w:r>
      <w:proofErr w:type="spellStart"/>
      <w:r>
        <w:rPr>
          <w:i/>
          <w:iCs/>
        </w:rPr>
        <w:t>carried</w:t>
      </w:r>
      <w:proofErr w:type="spellEnd"/>
      <w:r>
        <w:rPr>
          <w:i/>
          <w:iCs/>
        </w:rPr>
        <w:t xml:space="preserve"> </w:t>
      </w:r>
      <w:proofErr w:type="spellStart"/>
      <w:r>
        <w:rPr>
          <w:i/>
          <w:iCs/>
        </w:rPr>
        <w:t>interest</w:t>
      </w:r>
      <w:proofErr w:type="spellEnd"/>
      <w:r>
        <w:t>) par pārvaldē esošu alternatīvo ieguldījumu fondu un maksu par gūtajiem rezultātiem (</w:t>
      </w:r>
      <w:r>
        <w:rPr>
          <w:i/>
          <w:iCs/>
        </w:rPr>
        <w:t xml:space="preserve">performance </w:t>
      </w:r>
      <w:proofErr w:type="spellStart"/>
      <w:r>
        <w:rPr>
          <w:i/>
          <w:iCs/>
        </w:rPr>
        <w:t>fee</w:t>
      </w:r>
      <w:proofErr w:type="spellEnd"/>
      <w:r>
        <w:t xml:space="preserve">) par pārvaldē esošu ieguldījumu fondu, un ieguldījumu apliecībām (daļām), kuras sabiedrība no tās pārvaldē esoša fonda </w:t>
      </w:r>
      <w:r w:rsidR="00271920">
        <w:t>piešķir</w:t>
      </w:r>
      <w:r>
        <w:t xml:space="preserve"> riska profilu ietekmējošo amatu veicējiem un ieguldījumu pakalpojumu sniedzējiem apmaiņā pret profesionālo pakalpojumu saņemšanu, kā arī maksājumiem par ieguldījumu plāna pārvaldi un pensiju plāna pārvaldi, ja tos izmanto, veidojot atalgojumu sabiedrības vai tās pārvaldē esoša ieguldījumu portfeļa riska profilu ietekmējošiem amatiem un ieguldījumu pakalpojumu sniedzējiem.</w:t>
      </w:r>
    </w:p>
    <w:p w14:paraId="18CCC4F2" w14:textId="5CDF17EB" w:rsidR="002F25F0" w:rsidRDefault="002F25F0" w:rsidP="002F25F0">
      <w:pPr>
        <w:pStyle w:val="NApunkts1"/>
      </w:pPr>
      <w:bookmarkStart w:id="3" w:name="p-752370"/>
      <w:bookmarkEnd w:id="3"/>
      <w:r>
        <w:t>Sabiedrība nodrošina, ka:</w:t>
      </w:r>
    </w:p>
    <w:p w14:paraId="210C7862" w14:textId="6C2818F1" w:rsidR="002F25F0" w:rsidRDefault="00C1072C" w:rsidP="00684697">
      <w:pPr>
        <w:pStyle w:val="NApunkts2"/>
        <w:keepLines w:val="0"/>
      </w:pPr>
      <w:r>
        <w:t xml:space="preserve">tās </w:t>
      </w:r>
      <w:r w:rsidR="002F25F0">
        <w:t>amatpersonas vai darbinieki, uz kuriem attiecas šo noteikumu prasības, apņemas neizmantot personīgās riska ierobežošanas stratēģijas vai tādu atalgojuma un atbildības apdrošināšanu, kas mazinātu risku par varbūtējo korekciju, kuras noteiktas atalgojuma politikā, ietekmi uz atalgojumu un īpaši uz atlikto mainīgo atalgojuma daļu un ieturēto mainīgo atalgojuma daļu;</w:t>
      </w:r>
    </w:p>
    <w:p w14:paraId="76730C03" w14:textId="445EA6BB" w:rsidR="002F25F0" w:rsidRDefault="002F25F0" w:rsidP="00684697">
      <w:pPr>
        <w:pStyle w:val="NApunkts2"/>
        <w:keepLines w:val="0"/>
      </w:pPr>
      <w:r>
        <w:t>izmaksājot atalgojuma mainīgo daļu, netiek izmantoti tādi instrumenti vai metodes, kas veicina izvairīšanos no šo noteikumu prasību ievērošanas;</w:t>
      </w:r>
    </w:p>
    <w:p w14:paraId="36A0B9B7" w14:textId="01779CE3" w:rsidR="002F25F0" w:rsidRDefault="002F25F0" w:rsidP="00684697">
      <w:pPr>
        <w:pStyle w:val="NApunkts2"/>
        <w:keepLines w:val="0"/>
      </w:pPr>
      <w:r>
        <w:lastRenderedPageBreak/>
        <w:t>tās pārvaldē esoša alternatīvo ieguldījumu fonda pārvaldes tiesības tiek nodotas saskaņā ar </w:t>
      </w:r>
      <w:hyperlink r:id="rId18" w:tgtFrame="_blank" w:history="1">
        <w:r w:rsidRPr="005E52CC">
          <w:t>Alternatīvo ieguldījumu fondu un to pārvaldnieku likuma</w:t>
        </w:r>
      </w:hyperlink>
      <w:r>
        <w:t> </w:t>
      </w:r>
      <w:hyperlink r:id="rId19" w:anchor="p38" w:tgtFrame="_blank" w:history="1">
        <w:r w:rsidRPr="005E52CC">
          <w:t>38. pantu</w:t>
        </w:r>
      </w:hyperlink>
      <w:r>
        <w:t> un tās pārvaldē esoša ieguldījumu fonda pārvaldes tiesības tiek nodotas saskaņā ar </w:t>
      </w:r>
      <w:hyperlink r:id="rId20" w:tgtFrame="_blank" w:history="1">
        <w:r w:rsidRPr="005E52CC">
          <w:t>Ieguldījumu pārvaldes sabiedrību likuma</w:t>
        </w:r>
      </w:hyperlink>
      <w:r>
        <w:t> </w:t>
      </w:r>
      <w:hyperlink r:id="rId21" w:anchor="p16" w:tgtFrame="_blank" w:history="1">
        <w:r w:rsidRPr="005E52CC">
          <w:t>16.</w:t>
        </w:r>
        <w:r w:rsidR="000D67AD">
          <w:t> </w:t>
        </w:r>
        <w:r w:rsidRPr="005E52CC">
          <w:t>pantu</w:t>
        </w:r>
      </w:hyperlink>
      <w:r>
        <w:t>, kā arī ieguldījumu pārvaldes sabiedrība var deleģēt fonda pārvaldes pakalpojumus saskaņā ar </w:t>
      </w:r>
      <w:hyperlink r:id="rId22" w:tgtFrame="_blank" w:history="1">
        <w:r w:rsidRPr="005E52CC">
          <w:t>Ieguldījumu pārvaldes sabiedrību likuma</w:t>
        </w:r>
      </w:hyperlink>
      <w:r>
        <w:t> </w:t>
      </w:r>
      <w:hyperlink r:id="rId23" w:anchor="p15" w:tgtFrame="_blank" w:history="1">
        <w:r w:rsidRPr="005E52CC">
          <w:t>15.</w:t>
        </w:r>
        <w:r w:rsidR="000D67AD">
          <w:t> </w:t>
        </w:r>
        <w:r w:rsidRPr="005E52CC">
          <w:t>pantu</w:t>
        </w:r>
      </w:hyperlink>
      <w:r>
        <w:t> vai pārvaldnieks var deleģēt pakalpojumu</w:t>
      </w:r>
      <w:r w:rsidR="00684697">
        <w:t>s</w:t>
      </w:r>
      <w:r>
        <w:t xml:space="preserve"> un papildpakalpojumu</w:t>
      </w:r>
      <w:r w:rsidR="00684697">
        <w:t>s</w:t>
      </w:r>
      <w:r>
        <w:t xml:space="preserve"> saskaņā ar </w:t>
      </w:r>
      <w:hyperlink r:id="rId24" w:tgtFrame="_blank" w:history="1">
        <w:r w:rsidRPr="005E52CC">
          <w:t>Alternatīvo ieguldījumu fondu un to pārvaldnieku likuma</w:t>
        </w:r>
      </w:hyperlink>
      <w:r>
        <w:t> </w:t>
      </w:r>
      <w:hyperlink r:id="rId25" w:anchor="p28" w:tgtFrame="_blank" w:history="1">
        <w:r w:rsidRPr="005E52CC">
          <w:t>28.</w:t>
        </w:r>
        <w:r w:rsidR="000D67AD">
          <w:t> </w:t>
        </w:r>
        <w:r w:rsidRPr="005E52CC">
          <w:t>pantu</w:t>
        </w:r>
      </w:hyperlink>
      <w:r>
        <w:t> tikai tāda</w:t>
      </w:r>
      <w:r w:rsidR="00C1072C">
        <w:t>i</w:t>
      </w:r>
      <w:r>
        <w:t xml:space="preserve"> citai sabiedrībai vai citai personai, kura ievēro vienu no tālāk minētajām prasībām:</w:t>
      </w:r>
    </w:p>
    <w:p w14:paraId="4F01673D" w14:textId="773BC872" w:rsidR="002F25F0" w:rsidRDefault="002F25F0" w:rsidP="00684697">
      <w:pPr>
        <w:pStyle w:val="NApunkts3"/>
        <w:keepLines w:val="0"/>
      </w:pPr>
      <w:r>
        <w:t>cita sabiedrība, kurai tiek nodotas fonda pārvaldes tiesības, vai cita persona, kurai tiek deleģēti fonda pārvaldes pakalpojumi un papildpakalpojumi, ir pakļauta vismaz vienai no šādām prasībām:</w:t>
      </w:r>
    </w:p>
    <w:p w14:paraId="03E26D20" w14:textId="6242BB90" w:rsidR="002F25F0" w:rsidRDefault="00911D29" w:rsidP="00684697">
      <w:pPr>
        <w:pStyle w:val="NApunkts4"/>
        <w:keepLines w:val="0"/>
      </w:pPr>
      <w:hyperlink r:id="rId26" w:tgtFrame="_blank" w:history="1">
        <w:r w:rsidR="002F25F0" w:rsidRPr="005E52CC">
          <w:t>Ieguldījumu pārvaldes sabiedrību likumā</w:t>
        </w:r>
      </w:hyperlink>
      <w:r w:rsidR="002F25F0">
        <w:t>,</w:t>
      </w:r>
      <w:r w:rsidR="007E0302">
        <w:t xml:space="preserve"> </w:t>
      </w:r>
      <w:hyperlink r:id="rId27" w:tgtFrame="_blank" w:history="1">
        <w:r w:rsidR="002F25F0" w:rsidRPr="005E52CC">
          <w:t>Alternatīvo ieguldījumu fondu un to pārvaldnieku likumā</w:t>
        </w:r>
      </w:hyperlink>
      <w:r w:rsidR="002F25F0">
        <w:t>, kā arī šajos noteikumos noteiktajām vai tām līdzvērtīgām prasībām attiecībā uz atalgojuma politiku un praksi</w:t>
      </w:r>
      <w:r w:rsidR="00271920">
        <w:t>;</w:t>
      </w:r>
    </w:p>
    <w:p w14:paraId="20810F90" w14:textId="3AD2E2F4" w:rsidR="002F25F0" w:rsidRDefault="00911D29" w:rsidP="00684697">
      <w:pPr>
        <w:pStyle w:val="NApunkts4"/>
        <w:keepLines w:val="0"/>
      </w:pPr>
      <w:hyperlink r:id="rId28" w:tgtFrame="_blank" w:history="1">
        <w:r w:rsidR="002F25F0" w:rsidRPr="005E52CC">
          <w:t>Kredītiestāžu likumā</w:t>
        </w:r>
      </w:hyperlink>
      <w:r w:rsidR="002F25F0">
        <w:t>,</w:t>
      </w:r>
      <w:r w:rsidR="00B54F3C">
        <w:t xml:space="preserve"> Ieguldījumu brokeru sabiedrību likumā,</w:t>
      </w:r>
      <w:r w:rsidR="002F25F0">
        <w:t> </w:t>
      </w:r>
      <w:hyperlink r:id="rId29" w:tgtFrame="_blank" w:history="1">
        <w:r w:rsidR="002F25F0" w:rsidRPr="005E52CC">
          <w:t>Finanšu instrumentu tirgus likumā</w:t>
        </w:r>
      </w:hyperlink>
      <w:r w:rsidR="007E0302">
        <w:t xml:space="preserve"> </w:t>
      </w:r>
      <w:r w:rsidR="002F25F0">
        <w:t>un Latvijas Bankas noteikumos</w:t>
      </w:r>
      <w:r w:rsidR="00C1072C">
        <w:t>, kuri regulē</w:t>
      </w:r>
      <w:r w:rsidR="002F25F0">
        <w:t xml:space="preserve"> </w:t>
      </w:r>
      <w:r w:rsidR="00423EA4">
        <w:t xml:space="preserve">kredītiestāžu </w:t>
      </w:r>
      <w:r w:rsidR="002F25F0">
        <w:t>atalgojuma politiku un praksi</w:t>
      </w:r>
      <w:r w:rsidR="00C1072C">
        <w:t>,</w:t>
      </w:r>
      <w:r w:rsidR="002F25F0">
        <w:t xml:space="preserve"> noteiktajām vai tām līdzvērtīgām prasībām attiecībā uz atalgojuma politiku un praksi;</w:t>
      </w:r>
    </w:p>
    <w:p w14:paraId="499A408B" w14:textId="2ECBDB9D" w:rsidR="002F25F0" w:rsidRDefault="002F25F0" w:rsidP="00684697">
      <w:pPr>
        <w:pStyle w:val="NApunkts3"/>
        <w:keepLines w:val="0"/>
      </w:pPr>
      <w:r>
        <w:t>cita sabiedrība, kurai nodotas fonda pārvaldes tiesības, vai cita persona, kurai deleģēti fonda pārvaldes pakalpojumi un papildpakalpojumi, ievieš atbilstošus līgumiskus pasākumus, kas nodrošina šo noteikumu prasību ievērošanu, ņemot vērā, ka šie līgumiskie pasākumi aptver visus maksājumus, kas veikti citām sabiedrībām, kurām nodotas fonda pārvaldes tiesības, vai citām personām, kurām deleģēti fonda pārvaldes pakalpojumi un papildpakalpojumi, vai to pārvaldē esoša fonda riska profilu ietekmējošiem amatiem apmaiņā pret profesionālo pakalpojumu saņemšanu.</w:t>
      </w:r>
    </w:p>
    <w:p w14:paraId="603E04EF" w14:textId="70657C9C" w:rsidR="005E52CC" w:rsidRDefault="005E52CC" w:rsidP="005E52CC">
      <w:pPr>
        <w:pStyle w:val="NAnodala"/>
      </w:pPr>
      <w:r>
        <w:rPr>
          <w:shd w:val="clear" w:color="auto" w:fill="FFFFFF"/>
        </w:rPr>
        <w:t>Atalgojuma politika</w:t>
      </w:r>
    </w:p>
    <w:p w14:paraId="261C1AE0" w14:textId="56C0A8A0" w:rsidR="005E52CC" w:rsidRPr="005E52CC" w:rsidRDefault="0095036C" w:rsidP="00684697">
      <w:pPr>
        <w:pStyle w:val="NAapaksnodala"/>
      </w:pPr>
      <w:r w:rsidRPr="0095036C">
        <w:t>Pārvaldība</w:t>
      </w:r>
    </w:p>
    <w:p w14:paraId="6FA733DE" w14:textId="4676A111" w:rsidR="0095036C" w:rsidRPr="0095036C" w:rsidRDefault="0095036C" w:rsidP="0095036C">
      <w:pPr>
        <w:pStyle w:val="NApunkts1"/>
      </w:pPr>
      <w:r w:rsidRPr="0095036C">
        <w:t>Sabiedrība nodrošina tādas atalgojuma politikas izstrādi, dokumentēšanu un pastāvīgu īstenošanu, kas:</w:t>
      </w:r>
    </w:p>
    <w:p w14:paraId="7DA3E2BD" w14:textId="1E5E86ED" w:rsidR="0095036C" w:rsidRPr="0095036C" w:rsidRDefault="0095036C" w:rsidP="00684697">
      <w:pPr>
        <w:pStyle w:val="NApunkts2"/>
        <w:keepLines w:val="0"/>
      </w:pPr>
      <w:r w:rsidRPr="0095036C">
        <w:t>nerosina sabiedrības pārvaldē esoša ieguldījumu portfeļa riska profilam un prospektam vai darbības noteikumiem neatbilstošu risku uzņemšanos;</w:t>
      </w:r>
    </w:p>
    <w:p w14:paraId="596DD3DD" w14:textId="337AD7A7" w:rsidR="0095036C" w:rsidRPr="0095036C" w:rsidRDefault="0095036C" w:rsidP="00684697">
      <w:pPr>
        <w:pStyle w:val="NApunkts2"/>
        <w:keepLines w:val="0"/>
      </w:pPr>
      <w:r w:rsidRPr="0095036C">
        <w:t>neierobežo sabiedrības spēju nodrošināt stabilu finansiālo stāvokli un maksātspēju;</w:t>
      </w:r>
    </w:p>
    <w:p w14:paraId="6565A8F0" w14:textId="729887BB" w:rsidR="0095036C" w:rsidRPr="0095036C" w:rsidRDefault="0095036C" w:rsidP="00684697">
      <w:pPr>
        <w:pStyle w:val="NApunkts2"/>
        <w:keepLines w:val="0"/>
      </w:pPr>
      <w:r w:rsidRPr="0095036C">
        <w:t>atbilst sabiedrības ieguldījumu stratēģijai un tās pārvaldē esoša ieguldījumu portfeļa ieguldījumu stratēģijai, mērķiem, vērtībām, piemēram, ētikas standartiem, un interesēm, kā arī atbilst piesardzīgai un efektīvai risku pārvaldīšanai un veicina to;</w:t>
      </w:r>
    </w:p>
    <w:p w14:paraId="0CE761CA" w14:textId="71C6E46E" w:rsidR="0095036C" w:rsidRPr="0095036C" w:rsidRDefault="0095036C" w:rsidP="00684697">
      <w:pPr>
        <w:pStyle w:val="NApunkts2"/>
        <w:keepLines w:val="0"/>
      </w:pPr>
      <w:r w:rsidRPr="0095036C">
        <w:t>nav pretrunā ar sabiedrības pienākumu rīkoties pārvaldīto ieguldījumu portfeļu interesēs, t</w:t>
      </w:r>
      <w:r w:rsidR="005C7503">
        <w:t>ai skaitā,</w:t>
      </w:r>
      <w:r w:rsidRPr="0095036C">
        <w:t xml:space="preserve"> ievērot ieguldītāju un valsts fondēto pensiju shēmas līdzekļu ieguldījumu plāna un privātā pensiju fonda izveidotā pensiju plāna dalībnieku interešu aizsardzības principus un citu ieinteresēto pušu intereses, kā arī spēju nodrošināt pasākumus interešu konflikta novēršanai;</w:t>
      </w:r>
    </w:p>
    <w:p w14:paraId="0A234A58" w14:textId="36308572" w:rsidR="00D734E9" w:rsidRPr="0095036C" w:rsidRDefault="00D734E9" w:rsidP="00684697">
      <w:pPr>
        <w:pStyle w:val="NApunkts2"/>
        <w:keepLines w:val="0"/>
      </w:pPr>
      <w:r>
        <w:t>nosaka pasākumus interešu konfliktu novēršanai</w:t>
      </w:r>
      <w:r w:rsidRPr="00244713">
        <w:t xml:space="preserve"> </w:t>
      </w:r>
      <w:r>
        <w:t>ieguldījumu pakalpojumu sniedzējiem, t</w:t>
      </w:r>
      <w:r w:rsidR="00423EA4">
        <w:t>ai skaitā</w:t>
      </w:r>
      <w:r>
        <w:t xml:space="preserve"> attiecībās ar klientiem, ņemot vērā Eiropas Vērtspapīru un tirgu iestādes </w:t>
      </w:r>
      <w:r w:rsidRPr="0086390D">
        <w:t>2023.</w:t>
      </w:r>
      <w:r w:rsidR="007E0302">
        <w:t> </w:t>
      </w:r>
      <w:r w:rsidRPr="0086390D">
        <w:t>gada 3.</w:t>
      </w:r>
      <w:r w:rsidR="007E0302">
        <w:t> </w:t>
      </w:r>
      <w:r w:rsidRPr="0086390D">
        <w:t xml:space="preserve">aprīļa pamatnostādnes </w:t>
      </w:r>
      <w:r>
        <w:t xml:space="preserve">ESMA35-43-3565 </w:t>
      </w:r>
      <w:r w:rsidRPr="0086390D">
        <w:t xml:space="preserve">"Pamatnostādnes </w:t>
      </w:r>
      <w:r>
        <w:t>par noteiktiem FITD II atalgojuma prasību aspektiem</w:t>
      </w:r>
      <w:r w:rsidRPr="0086390D">
        <w:t>"</w:t>
      </w:r>
      <w:r w:rsidR="00ED412A">
        <w:t>;</w:t>
      </w:r>
    </w:p>
    <w:p w14:paraId="354E85EE" w14:textId="1E747EFF" w:rsidR="001729C8" w:rsidRDefault="0095036C" w:rsidP="00684697">
      <w:pPr>
        <w:pStyle w:val="NApunkts2"/>
        <w:keepLines w:val="0"/>
      </w:pPr>
      <w:r w:rsidRPr="0095036C">
        <w:t>nepieļauj garantēta apmēra atalgojuma mainīgās daļas noteikšanu, izņemot jaunu darbinieku nolīgšanas gadījumos pirmā darba gada laikā</w:t>
      </w:r>
      <w:r w:rsidR="00ED412A">
        <w:t>.</w:t>
      </w:r>
    </w:p>
    <w:p w14:paraId="206697F6" w14:textId="6E134862" w:rsidR="0095036C" w:rsidRPr="0095036C" w:rsidRDefault="0095036C" w:rsidP="0095036C">
      <w:pPr>
        <w:pStyle w:val="NApunkts1"/>
      </w:pPr>
      <w:r w:rsidRPr="0095036C">
        <w:t>Sabiedrības padome, ja tāda izveidota, ir atbildīga par:</w:t>
      </w:r>
    </w:p>
    <w:p w14:paraId="2F11A995" w14:textId="717705D3" w:rsidR="0095036C" w:rsidRPr="0095036C" w:rsidRDefault="0095036C" w:rsidP="00684697">
      <w:pPr>
        <w:pStyle w:val="NApunkts2"/>
        <w:keepLines w:val="0"/>
      </w:pPr>
      <w:r w:rsidRPr="0095036C">
        <w:t>atalgojuma politikas pamatprincipu noteikšanu un atalgojuma politikas apstiprināšanu;</w:t>
      </w:r>
    </w:p>
    <w:p w14:paraId="41A98F8A" w14:textId="3187DD24" w:rsidR="0095036C" w:rsidRPr="0095036C" w:rsidRDefault="0095036C" w:rsidP="00684697">
      <w:pPr>
        <w:pStyle w:val="NApunkts2"/>
        <w:keepLines w:val="0"/>
      </w:pPr>
      <w:r w:rsidRPr="0095036C">
        <w:lastRenderedPageBreak/>
        <w:t>atalgojuma politikas izstrādes un īstenošanas uzraudzību;</w:t>
      </w:r>
    </w:p>
    <w:p w14:paraId="5C4FA8F3" w14:textId="1187F86B" w:rsidR="0095036C" w:rsidRPr="0095036C" w:rsidRDefault="0095036C" w:rsidP="00684697">
      <w:pPr>
        <w:pStyle w:val="NApunkts2"/>
        <w:keepLines w:val="0"/>
      </w:pPr>
      <w:r w:rsidRPr="0095036C">
        <w:t>atalgojuma noteikšanu sabiedrības valdes locekļiem, iekšējā audita funkcijas augstākā līmeņa darbiniekiem, kā arī amatiem, kuru atalgojums ir vienāds ar vai lielāks par sabiedrības valdes locekļu amatu saimes zemāko atalgojuma līmeni;</w:t>
      </w:r>
    </w:p>
    <w:p w14:paraId="6F42B9D1" w14:textId="1CCDE51B" w:rsidR="0095036C" w:rsidRPr="0095036C" w:rsidRDefault="0095036C" w:rsidP="00684697">
      <w:pPr>
        <w:pStyle w:val="NApunkts2"/>
        <w:keepLines w:val="0"/>
      </w:pPr>
      <w:r w:rsidRPr="0095036C">
        <w:t>risku kontroles un darbības atbilstības kontroles funkciju augstākā līmeņa darbinieku atalgojuma tiešu pārraudzību;</w:t>
      </w:r>
    </w:p>
    <w:p w14:paraId="17625491" w14:textId="6FC8C10F" w:rsidR="0095036C" w:rsidRDefault="0095036C" w:rsidP="00684697">
      <w:pPr>
        <w:pStyle w:val="NApunkts2"/>
        <w:keepLines w:val="0"/>
      </w:pPr>
      <w:r w:rsidRPr="0095036C">
        <w:t>atalgojuma politikas pamatprincipu regulāru, bet ne retāku kā reizi gadā pārskatīšanu, lai nodrošinātu to atbilstību sabiedrības darbības plānam vai tās pārvaldē esoša ieguldījumu portfeļa ieguldījumu stratēģijai, kā arī pārmaiņām ārējos faktoros, piemēram, ārējos normatīvajos aktos;</w:t>
      </w:r>
    </w:p>
    <w:p w14:paraId="1A2AF42E" w14:textId="401B6B05" w:rsidR="0095036C" w:rsidRPr="0095036C" w:rsidRDefault="0095036C" w:rsidP="00684697">
      <w:pPr>
        <w:pStyle w:val="NApunkts2"/>
        <w:keepLines w:val="0"/>
      </w:pPr>
      <w:r w:rsidRPr="0095036C">
        <w:t xml:space="preserve">pārbaužu veikšanas kārtības noteikšanu </w:t>
      </w:r>
      <w:r w:rsidR="00536906">
        <w:t>par</w:t>
      </w:r>
      <w:r w:rsidRPr="0095036C">
        <w:t xml:space="preserve"> atalgojuma politikas īstenošanas atbilstību apstiprinātajai atalgojuma politikai un tai atbilstošiem iekšējiem un ārējiem normatīvajiem aktiem (piemēram, sabiedrības padome nosaka, ka minēto atbilstību regulāri, bet ne retāk kā reizi gadā pārbauda un novērtē</w:t>
      </w:r>
      <w:r w:rsidR="00ED412A">
        <w:t xml:space="preserve"> darbinieki, kuri sabiedrībā veic</w:t>
      </w:r>
      <w:r w:rsidRPr="0095036C">
        <w:t xml:space="preserve"> iekšējās kontroles funkcijas</w:t>
      </w:r>
      <w:r w:rsidR="00ED412A">
        <w:t>,</w:t>
      </w:r>
      <w:r w:rsidRPr="0095036C">
        <w:t xml:space="preserve"> vai piesaistīts ārējais eksperts);</w:t>
      </w:r>
    </w:p>
    <w:p w14:paraId="280D0A32" w14:textId="57C00591" w:rsidR="0095036C" w:rsidRPr="0095036C" w:rsidRDefault="0095036C" w:rsidP="00684697">
      <w:pPr>
        <w:pStyle w:val="NApunkts2"/>
        <w:keepLines w:val="0"/>
      </w:pPr>
      <w:r w:rsidRPr="0095036C">
        <w:t>ziņošanas kārtības sabiedrības padomei noteikšanu par pārbaudēm</w:t>
      </w:r>
      <w:r w:rsidR="00536906">
        <w:t xml:space="preserve">, kas veiktas saskaņā ar šo </w:t>
      </w:r>
      <w:r w:rsidR="00536906" w:rsidRPr="000307DB">
        <w:t>noteikumu 7.6.</w:t>
      </w:r>
      <w:r w:rsidR="007E0302">
        <w:t> </w:t>
      </w:r>
      <w:r w:rsidR="00536906" w:rsidRPr="000307DB">
        <w:t>apakšpunktā minēto kārtību,</w:t>
      </w:r>
      <w:r w:rsidRPr="000307DB">
        <w:t xml:space="preserve"> un iegūtajiem rezultātiem, kā arī par atalgojuma politikas ietekmi uz sabiedrības</w:t>
      </w:r>
      <w:r w:rsidRPr="0095036C">
        <w:t xml:space="preserve"> vai tās pārvaldē esoša ieguldījumu portfeļa riska profilu un risku pārvaldīšanas kvalitāti.</w:t>
      </w:r>
    </w:p>
    <w:p w14:paraId="5201F30B" w14:textId="77777777" w:rsidR="008E3963" w:rsidRPr="0095036C" w:rsidRDefault="008E3963" w:rsidP="008E3963">
      <w:pPr>
        <w:pStyle w:val="NApunkts1"/>
      </w:pPr>
      <w:r w:rsidRPr="0095036C">
        <w:t>Sabiedrības padomes atalgojumu nosaka un pārrauga sabiedrības akcionāri (dalībnieki).</w:t>
      </w:r>
    </w:p>
    <w:p w14:paraId="7E95D03D" w14:textId="0F5CF963" w:rsidR="0095036C" w:rsidRPr="0095036C" w:rsidRDefault="0095036C" w:rsidP="0095036C">
      <w:pPr>
        <w:pStyle w:val="NApunkts1"/>
      </w:pPr>
      <w:r w:rsidRPr="0095036C">
        <w:t>Ja sabiedrīb</w:t>
      </w:r>
      <w:r w:rsidR="00166DCA">
        <w:t>ā</w:t>
      </w:r>
      <w:r w:rsidRPr="0095036C">
        <w:t xml:space="preserve"> nav izveidota</w:t>
      </w:r>
      <w:r w:rsidR="00166DCA" w:rsidRPr="00166DCA">
        <w:t xml:space="preserve"> </w:t>
      </w:r>
      <w:r w:rsidR="00166DCA" w:rsidRPr="0095036C">
        <w:t>padome</w:t>
      </w:r>
      <w:r w:rsidRPr="0095036C">
        <w:t xml:space="preserve">, šajos noteikumos </w:t>
      </w:r>
      <w:r w:rsidR="00166DCA">
        <w:t xml:space="preserve">sabiedrības </w:t>
      </w:r>
      <w:r w:rsidRPr="0095036C">
        <w:t xml:space="preserve">padomei noteiktās funkcijas pilda </w:t>
      </w:r>
      <w:r w:rsidR="00166DCA">
        <w:t xml:space="preserve">sabiedrības </w:t>
      </w:r>
      <w:r w:rsidRPr="0095036C">
        <w:t>dalībnieku sapulce un tai ir saistošas šajos noteikumos</w:t>
      </w:r>
      <w:r w:rsidR="00166DCA">
        <w:t xml:space="preserve"> sabiedrības</w:t>
      </w:r>
      <w:r w:rsidRPr="0095036C">
        <w:t xml:space="preserve"> padomei noteiktās prasības.</w:t>
      </w:r>
    </w:p>
    <w:p w14:paraId="6A82DBF6" w14:textId="40E9EF11" w:rsidR="0095036C" w:rsidRPr="0095036C" w:rsidRDefault="0095036C" w:rsidP="0095036C">
      <w:pPr>
        <w:pStyle w:val="NApunkts1"/>
      </w:pPr>
      <w:r w:rsidRPr="0095036C">
        <w:t xml:space="preserve">Sabiedrība, kurai ir izveidota padome, ņemot vērā savu vai savā pārvaldē esoša ieguldījumu portfeļa darbības apjomu, veidu, sarežģītību un specifiku, kā arī sabiedrības organizatorisko struktūru, izvērtē </w:t>
      </w:r>
      <w:r w:rsidR="00166DCA" w:rsidRPr="0095036C">
        <w:t>nepieciešamību un lietderību</w:t>
      </w:r>
      <w:r w:rsidR="00166DCA">
        <w:t xml:space="preserve"> izveidot</w:t>
      </w:r>
      <w:r w:rsidR="00166DCA" w:rsidRPr="0095036C">
        <w:t xml:space="preserve"> </w:t>
      </w:r>
      <w:r w:rsidRPr="0095036C">
        <w:t>atalgojuma komitej</w:t>
      </w:r>
      <w:r w:rsidR="00166DCA">
        <w:t>u</w:t>
      </w:r>
      <w:r w:rsidRPr="0095036C">
        <w:t>. Atalgojuma komiteja</w:t>
      </w:r>
      <w:r w:rsidR="00166DCA">
        <w:t>, ja tāda sabiedrībā ir izveidota,</w:t>
      </w:r>
      <w:r w:rsidRPr="0095036C">
        <w:t xml:space="preserve"> ir atbildīga par iekšējo normatīvo aktu, kurus apstiprina sabiedrības padome un kuri ir saistīti ar atalgojumu, sagatavošanu, </w:t>
      </w:r>
      <w:r w:rsidR="00F15155">
        <w:t>tai skaitā</w:t>
      </w:r>
      <w:r w:rsidRPr="0095036C">
        <w:t xml:space="preserve"> par tādu iekšējo normatīvo aktu sagatavošanu, kuriem ir ietekme uz sabiedrības vai tās pārvaldē esoša ieguldījumu portfeļa riska profilu un risku pārvaldīšanas kvalitāti. Atalgojuma komiteja iekšējos normatīvos aktus sagatavo, ņemot vērā ieguldītāju un citu ieinteresēto pušu, piemēram, sabiedrības akcionāru</w:t>
      </w:r>
      <w:r w:rsidR="00166DCA">
        <w:t xml:space="preserve"> (dalībnieku)</w:t>
      </w:r>
      <w:r w:rsidRPr="0095036C">
        <w:t>, ilgtermiņa intereses, kā arī visas sabiedrības intereses.</w:t>
      </w:r>
    </w:p>
    <w:p w14:paraId="00000251" w14:textId="275D500C" w:rsidR="0095036C" w:rsidRPr="0095036C" w:rsidRDefault="0095036C" w:rsidP="0095036C">
      <w:pPr>
        <w:pStyle w:val="NApunkts1"/>
      </w:pPr>
      <w:r w:rsidRPr="0095036C">
        <w:t>Saskaņā ar sabiedrības padomes pilnvarojumu atalgojuma komiteja var būt atbildīga arī par valdes locekļu, iekšējā audita funkcijas augstākā līmeņa darbinieku un amatu, kuru atalgojums ir vienāds ar vai lielāks par valdes locekļu amatu saimes zemāko atalgojuma līmeni, atalgojuma noteikšanu, kā arī par risku kontroles un darbības atbilstības kontroles funkciju augstākā līmeņa darbinieku atalgojuma tiešu pārraudzību.</w:t>
      </w:r>
    </w:p>
    <w:p w14:paraId="7EDF50B3" w14:textId="10182008" w:rsidR="0095036C" w:rsidRPr="0095036C" w:rsidRDefault="0095036C" w:rsidP="0095036C">
      <w:pPr>
        <w:pStyle w:val="NApunkts1"/>
      </w:pPr>
      <w:r w:rsidRPr="0095036C">
        <w:t>Par atalgojuma komitejas vadītāju ieceļ vienu no padomes locekļiem. Par atalgojuma komitejas locekļiem drīkst iecelt tikai padomes locekļus, izņemot, ja sabiedrības iekšējie normatīvie akti paredz amatpersonas, kas nav sabiedrības padomes loceklis, vai darbinieku pārstāvniecību iestādes padomē. Šādā gadījumā par atalgojuma komitejas locekli drīkst iecelt arī sabiedrības amatpersonu, kas nav sabiedrības padomes loceklis, vai darbinieku.</w:t>
      </w:r>
    </w:p>
    <w:p w14:paraId="0CE64487" w14:textId="686BBEC0" w:rsidR="0095036C" w:rsidRPr="0095036C" w:rsidRDefault="0095036C" w:rsidP="0095036C">
      <w:pPr>
        <w:pStyle w:val="NApunkts1"/>
      </w:pPr>
      <w:r w:rsidRPr="0095036C">
        <w:t>Sabiedrība nodrošina, ka izvērtējums un pieņemtie lēmumi par atalgojuma komitejas izveides lietderību ir dokumentēti un pamatoti.</w:t>
      </w:r>
    </w:p>
    <w:p w14:paraId="35D240D8" w14:textId="6C7948E1" w:rsidR="0095036C" w:rsidRPr="0095036C" w:rsidRDefault="0095036C" w:rsidP="0095036C">
      <w:pPr>
        <w:pStyle w:val="NApunkts1"/>
      </w:pPr>
      <w:r w:rsidRPr="0095036C">
        <w:lastRenderedPageBreak/>
        <w:t xml:space="preserve">Sabiedrības valde ir atbildīga par sabiedrības padomes noteiktajiem atalgojuma politikas pamatprincipiem atbilstošas atalgojuma politikas izstrādi un tai atbilstošu iekšējo normatīvo aktu izstrādi, apstiprināšanu un to īstenošanu, ņemot vērā, ka iekšējās kontroles funkciju </w:t>
      </w:r>
      <w:r w:rsidR="00ED412A">
        <w:t xml:space="preserve">veicēju </w:t>
      </w:r>
      <w:r w:rsidRPr="0095036C">
        <w:t xml:space="preserve">atalgojumu nosaka saskaņā ar iekšējās kontroles funkcijām noteikto mērķu sasniegšanu neatkarīgi no sasniegtajiem darbības rezultātiem iekšējās kontroles funkciju kontrolētajās darbības jomās. Sabiedrības valde nodrošina riska profilu ietekmējošo amatu </w:t>
      </w:r>
      <w:r w:rsidR="00166DCA">
        <w:t xml:space="preserve">veicēju </w:t>
      </w:r>
      <w:r w:rsidRPr="0095036C">
        <w:t xml:space="preserve">un ieguldījumu pakalpojumu sniedzēju informēšanu par to darbības rezultātu novērtēšanā un atalgojuma mainīgās daļas noteikšanā izmantojamajiem rādītājiem un metodēm, kā arī nodrošina, ka iekšējie normatīvie akti atalgojuma noteikšanai, </w:t>
      </w:r>
      <w:r w:rsidR="00F15155">
        <w:t>tai skaitā</w:t>
      </w:r>
      <w:r w:rsidRPr="0095036C">
        <w:t xml:space="preserve"> novērtēšanas process un tā rezultāti, ir skaidri, dokumentēti un iekšēji pieejami, ja tas nepieciešams funkciju vai darba pienākumu veikšanai vai tie attiecas uz konkrēto amatpersonu vai darbinieku.</w:t>
      </w:r>
    </w:p>
    <w:p w14:paraId="6A589552" w14:textId="4AF2DF70" w:rsidR="0095036C" w:rsidRPr="0095036C" w:rsidRDefault="0095036C" w:rsidP="0095036C">
      <w:pPr>
        <w:pStyle w:val="NApunkts1"/>
      </w:pPr>
      <w:r w:rsidRPr="0095036C">
        <w:t>Atalgojuma politikas un ar to saistīto iekšējo normatīvo aktu izstrādē un īstenošanas nodrošināšanā iesaista arī darbiniekus, kuri veic iekšējās kontroles funkcijas, un darbiniekus, kuri veic personāla vadības funkciju, kā arī, ja nepieciešams, ārējos ekspertus. Iesaistītajiem darbiniekiem</w:t>
      </w:r>
      <w:r w:rsidR="00536906">
        <w:t xml:space="preserve"> un </w:t>
      </w:r>
      <w:r w:rsidRPr="0095036C">
        <w:t>ārējiem ekspertiem, kā arī par atalgojuma politiku atbildīgajiem sabiedrības padomes locekļiem ir:</w:t>
      </w:r>
    </w:p>
    <w:p w14:paraId="41458C4C" w14:textId="1AB656E9" w:rsidR="0095036C" w:rsidRPr="0095036C" w:rsidRDefault="0095036C" w:rsidP="00684697">
      <w:pPr>
        <w:pStyle w:val="NApunkts2"/>
        <w:keepLines w:val="0"/>
      </w:pPr>
      <w:r w:rsidRPr="0095036C">
        <w:t>atbilstoša kompetence atalgojuma</w:t>
      </w:r>
      <w:r w:rsidR="003A24AC">
        <w:t xml:space="preserve"> politikas noteikšanas</w:t>
      </w:r>
      <w:r w:rsidRPr="0095036C">
        <w:t xml:space="preserve"> un risku pārvaldības jomā;</w:t>
      </w:r>
    </w:p>
    <w:p w14:paraId="1517034D" w14:textId="7659C9F7" w:rsidR="0095036C" w:rsidRPr="0095036C" w:rsidRDefault="0095036C" w:rsidP="00684697">
      <w:pPr>
        <w:pStyle w:val="NApunkts2"/>
        <w:keepLines w:val="0"/>
      </w:pPr>
      <w:r w:rsidRPr="0095036C">
        <w:t>nepieciešamās pilnvaras to funkciju veikšanai un informācijas iegūšanai;</w:t>
      </w:r>
    </w:p>
    <w:p w14:paraId="0BBF82C2" w14:textId="1FD7370D" w:rsidR="0095036C" w:rsidRPr="0095036C" w:rsidRDefault="0095036C" w:rsidP="00684697">
      <w:pPr>
        <w:pStyle w:val="NApunkts2"/>
        <w:keepLines w:val="0"/>
        <w:rPr>
          <w:b/>
        </w:rPr>
      </w:pPr>
      <w:r w:rsidRPr="0095036C">
        <w:t xml:space="preserve">spēja sniegt neatkarīgu un kompetentu vērtējumu par atalgojuma politiku un tās īstenošanu, kā arī tās piemērotību sabiedrības vai tās pārvaldē esoša ieguldījumu portfeļa darbībai, </w:t>
      </w:r>
      <w:r w:rsidR="00F15155">
        <w:t>tai skaitā</w:t>
      </w:r>
      <w:r w:rsidRPr="0095036C">
        <w:t xml:space="preserve"> tās ietekmi uz sabiedrības vai tās pārvaldē esoša ieguldījumu portfeļa riska profilu un risku, kapitāla un likviditātes pārvaldīšanas kvalitāti. </w:t>
      </w:r>
    </w:p>
    <w:p w14:paraId="2B1DD9C2" w14:textId="0B179479" w:rsidR="00840034" w:rsidRDefault="00377C7C" w:rsidP="00684697">
      <w:pPr>
        <w:pStyle w:val="NAapaksnodala"/>
      </w:pPr>
      <w:r w:rsidRPr="00377C7C">
        <w:t>Atalgojuma politikas pamatprincipi</w:t>
      </w:r>
    </w:p>
    <w:p w14:paraId="16B5386F" w14:textId="17C575A1" w:rsidR="008468FD" w:rsidRPr="008468FD" w:rsidRDefault="008468FD" w:rsidP="008468FD">
      <w:pPr>
        <w:pStyle w:val="NApunkts1"/>
      </w:pPr>
      <w:r w:rsidRPr="008468FD">
        <w:t>Atalgojuma politikas pamatprincipos nosaka:</w:t>
      </w:r>
    </w:p>
    <w:p w14:paraId="3A56B200" w14:textId="58445243" w:rsidR="008468FD" w:rsidRPr="008468FD" w:rsidRDefault="008468FD" w:rsidP="00684697">
      <w:pPr>
        <w:pStyle w:val="NApunkts2"/>
        <w:keepLines w:val="0"/>
      </w:pPr>
      <w:r w:rsidRPr="008468FD">
        <w:t>atalgojuma politikas mērķus</w:t>
      </w:r>
      <w:r w:rsidRPr="000307DB">
        <w:t xml:space="preserve">, </w:t>
      </w:r>
      <w:r w:rsidR="00773A19">
        <w:t>tai skaitā</w:t>
      </w:r>
      <w:r w:rsidRPr="000307DB">
        <w:t xml:space="preserve"> sabiedrības, ciktāl tas nav pretrunā ar šo noteikumu 6.</w:t>
      </w:r>
      <w:r w:rsidR="007E0302">
        <w:t> </w:t>
      </w:r>
      <w:r w:rsidRPr="000307DB">
        <w:t>punktā minētajiem kritērijiem, noteikto darbības mērķu, piemēram, attiecīgas kvalifikācijas</w:t>
      </w:r>
      <w:r w:rsidRPr="008468FD">
        <w:t xml:space="preserve"> darbinieku piesaistīšana un motivēšana, sasniegšanu;</w:t>
      </w:r>
    </w:p>
    <w:p w14:paraId="4531FAD6" w14:textId="680744B0" w:rsidR="00991355" w:rsidRDefault="008468FD" w:rsidP="00684697">
      <w:pPr>
        <w:pStyle w:val="NApunkts2"/>
        <w:keepLines w:val="0"/>
      </w:pPr>
      <w:r w:rsidRPr="008468FD">
        <w:t xml:space="preserve">atalgojuma </w:t>
      </w:r>
      <w:r w:rsidR="00991355">
        <w:t xml:space="preserve">nemainīgās daļas </w:t>
      </w:r>
      <w:r w:rsidR="0040571D" w:rsidRPr="008468FD">
        <w:t>elementus</w:t>
      </w:r>
      <w:r w:rsidR="007E0302">
        <w:t> </w:t>
      </w:r>
      <w:r w:rsidR="003A24AC">
        <w:t>–</w:t>
      </w:r>
      <w:r w:rsidR="00991355">
        <w:t xml:space="preserve"> no darbības rezultātiem neatkarīg</w:t>
      </w:r>
      <w:r w:rsidR="003A24AC">
        <w:t>u</w:t>
      </w:r>
      <w:r w:rsidR="00991355">
        <w:t xml:space="preserve"> darba samaksas daļ</w:t>
      </w:r>
      <w:r w:rsidR="0040571D">
        <w:t>u</w:t>
      </w:r>
      <w:r w:rsidR="0040571D" w:rsidRPr="0040571D">
        <w:t xml:space="preserve"> </w:t>
      </w:r>
      <w:r w:rsidR="0040571D">
        <w:t>monetārā vai nemonetārā formā, t</w:t>
      </w:r>
      <w:r w:rsidR="00773A19">
        <w:t>ai skaitā</w:t>
      </w:r>
      <w:r w:rsidR="0040571D">
        <w:t xml:space="preserve"> </w:t>
      </w:r>
      <w:r w:rsidR="00991355" w:rsidRPr="0010644D">
        <w:t>darba alg</w:t>
      </w:r>
      <w:r w:rsidR="0040571D" w:rsidRPr="0010644D">
        <w:t>u</w:t>
      </w:r>
      <w:r w:rsidR="0010644D" w:rsidRPr="0010644D">
        <w:t>,</w:t>
      </w:r>
      <w:r w:rsidR="0025403C" w:rsidRPr="0010644D">
        <w:t xml:space="preserve"> un</w:t>
      </w:r>
      <w:r w:rsidR="0040571D">
        <w:t xml:space="preserve"> </w:t>
      </w:r>
      <w:r w:rsidR="0040571D" w:rsidRPr="008468FD">
        <w:t>ar pensionēšanos saistīt</w:t>
      </w:r>
      <w:r w:rsidR="0040571D">
        <w:t>os</w:t>
      </w:r>
      <w:r w:rsidR="0040571D" w:rsidRPr="008468FD">
        <w:t xml:space="preserve"> labum</w:t>
      </w:r>
      <w:r w:rsidR="0040571D">
        <w:t>us</w:t>
      </w:r>
      <w:r w:rsidR="0040571D" w:rsidRPr="008468FD">
        <w:t xml:space="preserve"> saskaņā ar sabiedrības pensiju politiku</w:t>
      </w:r>
      <w:r w:rsidR="00773A19">
        <w:t>;</w:t>
      </w:r>
      <w:r w:rsidRPr="008468FD">
        <w:t xml:space="preserve"> </w:t>
      </w:r>
    </w:p>
    <w:p w14:paraId="450E07F5" w14:textId="5B1C872C" w:rsidR="002F1A56" w:rsidRDefault="00991355" w:rsidP="00684697">
      <w:pPr>
        <w:pStyle w:val="NApunkts2"/>
        <w:keepLines w:val="0"/>
      </w:pPr>
      <w:r>
        <w:t xml:space="preserve">atalgojuma mainīgās daļas </w:t>
      </w:r>
      <w:r w:rsidR="0040571D">
        <w:t>elementus</w:t>
      </w:r>
      <w:r w:rsidR="002F1A56">
        <w:t>,</w:t>
      </w:r>
      <w:r w:rsidR="002F1A56" w:rsidRPr="002F1A56">
        <w:t xml:space="preserve"> </w:t>
      </w:r>
      <w:r w:rsidR="002F1A56" w:rsidRPr="008468FD">
        <w:t>kas atbilst sabiedrības un tās pārvaldē esoša ieguldījumu portfeļa ieguldījumu stratēģijai, mērķiem, vērtībām, piemēram, ētikas standartiem, un interesēm</w:t>
      </w:r>
      <w:r w:rsidR="002F1A56">
        <w:t>. Atalgojuma mainīgajā daļā sabiedrība ieskaita</w:t>
      </w:r>
      <w:r>
        <w:t xml:space="preserve"> no darbības rezultātiem atkarīg</w:t>
      </w:r>
      <w:r w:rsidR="0040571D">
        <w:t>u</w:t>
      </w:r>
      <w:r>
        <w:t xml:space="preserve"> darba samaksas daļ</w:t>
      </w:r>
      <w:r w:rsidR="0040571D">
        <w:t>u</w:t>
      </w:r>
      <w:r>
        <w:t xml:space="preserve"> monetārā vai nemonetārā formā</w:t>
      </w:r>
      <w:r w:rsidR="0040571D">
        <w:t>,</w:t>
      </w:r>
      <w:r w:rsidR="002F1A56">
        <w:t xml:space="preserve"> kuru var veidot:</w:t>
      </w:r>
    </w:p>
    <w:p w14:paraId="63D8F692" w14:textId="4554AEF8" w:rsidR="002F1A56" w:rsidRDefault="0040571D" w:rsidP="00684697">
      <w:pPr>
        <w:pStyle w:val="NApunkts3"/>
        <w:keepLines w:val="0"/>
      </w:pPr>
      <w:r w:rsidRPr="008468FD">
        <w:t>prēmijas</w:t>
      </w:r>
      <w:r w:rsidR="002F1A56">
        <w:t>;</w:t>
      </w:r>
    </w:p>
    <w:p w14:paraId="4ABA70D7" w14:textId="6D7F0B50" w:rsidR="002F1A56" w:rsidRDefault="0040571D" w:rsidP="00684697">
      <w:pPr>
        <w:pStyle w:val="NApunkts3"/>
        <w:keepLines w:val="0"/>
      </w:pPr>
      <w:r w:rsidRPr="008468FD">
        <w:t>motivējošas shēmas ilgtermiņa darbības rezultātu sasniegšanai</w:t>
      </w:r>
      <w:r w:rsidR="002F1A56">
        <w:t>;</w:t>
      </w:r>
      <w:r w:rsidRPr="008468FD">
        <w:t xml:space="preserve"> </w:t>
      </w:r>
    </w:p>
    <w:p w14:paraId="33DBFE7C" w14:textId="181F0240" w:rsidR="002F1A56" w:rsidRDefault="0040571D" w:rsidP="00684697">
      <w:pPr>
        <w:pStyle w:val="NApunkts3"/>
        <w:keepLines w:val="0"/>
      </w:pPr>
      <w:r w:rsidRPr="008468FD">
        <w:t>ieguldījumu apliecības (daļas)</w:t>
      </w:r>
      <w:r w:rsidR="002F1A56">
        <w:t>;</w:t>
      </w:r>
      <w:r w:rsidRPr="008468FD">
        <w:t xml:space="preserve"> </w:t>
      </w:r>
    </w:p>
    <w:p w14:paraId="1D1E2794" w14:textId="72A19E11" w:rsidR="002F1A56" w:rsidRDefault="0040571D" w:rsidP="002F1A56">
      <w:pPr>
        <w:pStyle w:val="NApunkts3"/>
      </w:pPr>
      <w:r w:rsidRPr="008468FD">
        <w:t>atlīdzīb</w:t>
      </w:r>
      <w:r w:rsidR="00773A19">
        <w:t>a</w:t>
      </w:r>
      <w:r w:rsidRPr="008468FD">
        <w:t xml:space="preserve"> darba līguma vai pilnvarojuma līguma izbeigšanas gadījumā</w:t>
      </w:r>
      <w:r w:rsidR="00773A19">
        <w:t xml:space="preserve"> un</w:t>
      </w:r>
      <w:r w:rsidRPr="008468FD">
        <w:t xml:space="preserve"> iemaksas privāto pensiju fondu pensiju plānos</w:t>
      </w:r>
      <w:r w:rsidR="002F1A56">
        <w:t>;</w:t>
      </w:r>
    </w:p>
    <w:p w14:paraId="79B79915" w14:textId="6CF859B1" w:rsidR="0040571D" w:rsidRPr="0010644D" w:rsidRDefault="00991355" w:rsidP="00684697">
      <w:pPr>
        <w:pStyle w:val="NApunkts3"/>
      </w:pPr>
      <w:r w:rsidRPr="00684697">
        <w:t>pēc sabiedrības iniciatīvas</w:t>
      </w:r>
      <w:r>
        <w:t xml:space="preserve"> noteikt</w:t>
      </w:r>
      <w:r w:rsidR="00773A19">
        <w:t>i</w:t>
      </w:r>
      <w:r>
        <w:t xml:space="preserve"> ar pensionēšanos saistīt</w:t>
      </w:r>
      <w:r w:rsidR="00684697">
        <w:t>i</w:t>
      </w:r>
      <w:r>
        <w:t xml:space="preserve"> labum</w:t>
      </w:r>
      <w:r w:rsidR="00684697">
        <w:t>i</w:t>
      </w:r>
      <w:r>
        <w:t xml:space="preserve">, kuru apmērs ir atkarīgs no darbības rezultātiem, bet neietver tādas iemaksas privāto pensiju fondu </w:t>
      </w:r>
      <w:r w:rsidRPr="0010644D">
        <w:t>pensiju plānos vai tādus ar pensionēšanos saistītos izdevumus, k</w:t>
      </w:r>
      <w:r w:rsidR="0010644D">
        <w:t>uri</w:t>
      </w:r>
      <w:r w:rsidRPr="0010644D">
        <w:t xml:space="preserve"> noteikti saskaņā ar pensiju politiku</w:t>
      </w:r>
      <w:r w:rsidR="0010644D" w:rsidRPr="0010644D">
        <w:t>, k</w:t>
      </w:r>
      <w:r w:rsidR="0010644D">
        <w:t>as</w:t>
      </w:r>
      <w:r w:rsidR="0010644D" w:rsidRPr="0010644D">
        <w:t xml:space="preserve"> noteikta</w:t>
      </w:r>
      <w:r w:rsidRPr="0010644D">
        <w:t xml:space="preserve"> sabiedrības līmenī</w:t>
      </w:r>
      <w:r w:rsidR="0040571D" w:rsidRPr="0010644D">
        <w:t>;</w:t>
      </w:r>
      <w:r w:rsidRPr="0010644D">
        <w:t xml:space="preserve"> </w:t>
      </w:r>
    </w:p>
    <w:p w14:paraId="65DAB84F" w14:textId="21BA2DBE" w:rsidR="008468FD" w:rsidRPr="008468FD" w:rsidRDefault="008468FD" w:rsidP="00684697">
      <w:pPr>
        <w:pStyle w:val="NApunkts2"/>
        <w:keepLines w:val="0"/>
      </w:pPr>
      <w:r w:rsidRPr="008468FD">
        <w:t>pasākumus interešu konflikta novēršanai</w:t>
      </w:r>
      <w:r w:rsidR="0015325E">
        <w:t xml:space="preserve"> (</w:t>
      </w:r>
      <w:r w:rsidRPr="008468FD">
        <w:t xml:space="preserve">piemēram, izslēdzot iespēju sabiedrības valdes un padomes locekļiem noteikt </w:t>
      </w:r>
      <w:r w:rsidR="00ED3464">
        <w:t>savu atalgojumu</w:t>
      </w:r>
      <w:r w:rsidRPr="008468FD">
        <w:t xml:space="preserve"> vai piedalīties </w:t>
      </w:r>
      <w:r w:rsidR="00ED3464">
        <w:t>tā</w:t>
      </w:r>
      <w:r w:rsidRPr="008468FD">
        <w:t xml:space="preserve"> noteikšanā vai tiešā veidā </w:t>
      </w:r>
      <w:r w:rsidR="0015325E">
        <w:t>ne</w:t>
      </w:r>
      <w:r w:rsidRPr="008468FD">
        <w:t>piesaistot atalgojumu specifisku finanšu instrumentu, finanšu instrumentu kategoriju vai noteikta to daudzuma pārdošanai</w:t>
      </w:r>
      <w:r w:rsidR="0015325E">
        <w:t>)</w:t>
      </w:r>
      <w:r w:rsidRPr="008468FD">
        <w:t>;</w:t>
      </w:r>
    </w:p>
    <w:p w14:paraId="5D15CAE4" w14:textId="2D0FEA2C" w:rsidR="008468FD" w:rsidRPr="000307DB" w:rsidRDefault="008468FD" w:rsidP="00684697">
      <w:pPr>
        <w:pStyle w:val="NApunkts2"/>
        <w:keepLines w:val="0"/>
      </w:pPr>
      <w:r w:rsidRPr="008468FD">
        <w:lastRenderedPageBreak/>
        <w:t>katram riska profilu ietekmējošajam amatam un ieguldījumu pakalpojumu sniedzējam samērīgu attiecību starp atalgojuma nemainīgo un mainīgo daļu, tostarp atalgojuma mainīgās daļas struktūru un atalgojuma mainīgās daļas augstāko robežu, ņemot vērā darbības jomas, kurā</w:t>
      </w:r>
      <w:r w:rsidR="004924D5">
        <w:t>s darbojas</w:t>
      </w:r>
      <w:r w:rsidRPr="008468FD">
        <w:t xml:space="preserve"> attiecīg</w:t>
      </w:r>
      <w:r w:rsidR="004924D5">
        <w:t>ā</w:t>
      </w:r>
      <w:r w:rsidRPr="008468FD">
        <w:t xml:space="preserve"> amat</w:t>
      </w:r>
      <w:r w:rsidR="004924D5">
        <w:t>a veicēj</w:t>
      </w:r>
      <w:r w:rsidRPr="008468FD">
        <w:t xml:space="preserve">s, nosacījumus un specifiku. Sabiedrība nodrošina, ka atalgojuma nemainīgā daļa atalgojumā ir pietiekami liela, lai sabiedrība varētu noteikt elastīgu atalgojuma politiku attiecībā uz atalgojuma mainīgo daļu, ieskaitot iespēju neizmaksāt atalgojuma mainīgo daļu, piemēram, </w:t>
      </w:r>
      <w:r w:rsidRPr="000307DB">
        <w:t>sabiedrības finansiālā stāvokļa un tās maksātspējas pasliktināšanās gadījumā vai tās pārvaldē esoša ieguldījumu portfeļa ieguldījumu atdeves vai to raksturojošo finan</w:t>
      </w:r>
      <w:r w:rsidR="00952FEC">
        <w:t>siālo</w:t>
      </w:r>
      <w:r w:rsidRPr="000307DB">
        <w:t xml:space="preserve"> rādītāju negatīva rezultāta gadījumā, ņemot vērā sabiedrībai noteiktās kapitāla prasības;</w:t>
      </w:r>
    </w:p>
    <w:p w14:paraId="7E0DFE64" w14:textId="04D0BCC4" w:rsidR="008468FD" w:rsidRDefault="008468FD" w:rsidP="00684697">
      <w:pPr>
        <w:pStyle w:val="NApunkts2"/>
        <w:keepLines w:val="0"/>
      </w:pPr>
      <w:r w:rsidRPr="000307DB">
        <w:t xml:space="preserve">riska profilu ietekmējošos amatus atbilstoši šo noteikumu </w:t>
      </w:r>
      <w:r w:rsidR="00B952EF" w:rsidRPr="000307DB">
        <w:t>2</w:t>
      </w:r>
      <w:r w:rsidRPr="000307DB">
        <w:t>.</w:t>
      </w:r>
      <w:r w:rsidR="004924D5" w:rsidRPr="000307DB">
        <w:t>7</w:t>
      </w:r>
      <w:r w:rsidRPr="000307DB">
        <w:t>.</w:t>
      </w:r>
      <w:r w:rsidR="007E0302">
        <w:t> </w:t>
      </w:r>
      <w:r w:rsidR="00B952EF" w:rsidRPr="000307DB">
        <w:t>apakš</w:t>
      </w:r>
      <w:r w:rsidRPr="000307DB">
        <w:t xml:space="preserve">punktā minētajām kategorijām un ieguldījumu pakalpojumu sniedzējus atbilstoši šo noteikumu </w:t>
      </w:r>
      <w:r w:rsidR="00B952EF" w:rsidRPr="000307DB">
        <w:t>2</w:t>
      </w:r>
      <w:r w:rsidRPr="000307DB">
        <w:t>.</w:t>
      </w:r>
      <w:r w:rsidR="004924D5" w:rsidRPr="000307DB">
        <w:t>8</w:t>
      </w:r>
      <w:r w:rsidRPr="000307DB">
        <w:t xml:space="preserve">. </w:t>
      </w:r>
      <w:r w:rsidR="00B952EF" w:rsidRPr="000307DB">
        <w:t>apakš</w:t>
      </w:r>
      <w:r w:rsidRPr="000307DB">
        <w:t>punktā minētajam, nodrošinot, ka izvērtējums un pieņemtie lēmumi par riska profilu ietekmējošo amatu un ieguldījumu pakalpojumu</w:t>
      </w:r>
      <w:r w:rsidRPr="008468FD">
        <w:t xml:space="preserve"> sniedzēju noteikšanu ir dokumentēti, t</w:t>
      </w:r>
      <w:r w:rsidR="001C06E6">
        <w:t>ai skaitā</w:t>
      </w:r>
      <w:r w:rsidRPr="008468FD">
        <w:t xml:space="preserve"> atsevišķi nodalīti un identificēti finansiālie un nefinansiālie rādītāji un metodes šo amatu </w:t>
      </w:r>
      <w:r w:rsidR="004924D5">
        <w:t xml:space="preserve">veicēju </w:t>
      </w:r>
      <w:r w:rsidRPr="008468FD">
        <w:t>darbības rezultātu novērtēšanai un atalgojuma noteikšanai.</w:t>
      </w:r>
    </w:p>
    <w:p w14:paraId="1A74022C" w14:textId="04E0B886" w:rsidR="00792618" w:rsidRDefault="00792618" w:rsidP="00792618">
      <w:pPr>
        <w:pStyle w:val="NApunkts1"/>
      </w:pPr>
      <w:r>
        <w:t xml:space="preserve">Sabiedrība nodrošina, ka riska profilu ietekmējošo amatu </w:t>
      </w:r>
      <w:r w:rsidR="00803E96">
        <w:t xml:space="preserve">veicēju </w:t>
      </w:r>
      <w:r>
        <w:t xml:space="preserve">un ieguldījumu pakalpojumu sniedzēju darbības rezultātu novērtēšanai </w:t>
      </w:r>
      <w:r w:rsidR="00684697">
        <w:t xml:space="preserve">tiek </w:t>
      </w:r>
      <w:r>
        <w:t>izmanto</w:t>
      </w:r>
      <w:r w:rsidR="00684697">
        <w:t>ti</w:t>
      </w:r>
      <w:r>
        <w:t xml:space="preserve"> un dokumentē</w:t>
      </w:r>
      <w:r w:rsidR="00ED3464">
        <w:t>ti</w:t>
      </w:r>
      <w:r>
        <w:t xml:space="preserve"> ne tikai finansiāl</w:t>
      </w:r>
      <w:r w:rsidR="00684697">
        <w:t>ie</w:t>
      </w:r>
      <w:r>
        <w:t xml:space="preserve"> rādītāj</w:t>
      </w:r>
      <w:r w:rsidR="00684697">
        <w:t>i</w:t>
      </w:r>
      <w:r>
        <w:t xml:space="preserve"> (kvantitatīv</w:t>
      </w:r>
      <w:r w:rsidR="00684697">
        <w:t>ie</w:t>
      </w:r>
      <w:r>
        <w:t xml:space="preserve"> kritērij</w:t>
      </w:r>
      <w:r w:rsidR="00684697">
        <w:t>i</w:t>
      </w:r>
      <w:r>
        <w:t>), piemēram, ienākum</w:t>
      </w:r>
      <w:r w:rsidR="00ED3464">
        <w:t>i</w:t>
      </w:r>
      <w:r>
        <w:t>, bet arī nefinansiāl</w:t>
      </w:r>
      <w:r w:rsidR="00684697">
        <w:t>ie</w:t>
      </w:r>
      <w:r>
        <w:t xml:space="preserve"> rādītāj</w:t>
      </w:r>
      <w:r w:rsidR="00684697">
        <w:t>i</w:t>
      </w:r>
      <w:r>
        <w:t xml:space="preserve"> (kvalitatīv</w:t>
      </w:r>
      <w:r w:rsidR="00684697">
        <w:t>ie</w:t>
      </w:r>
      <w:r>
        <w:t xml:space="preserve"> kritērij</w:t>
      </w:r>
      <w:r w:rsidR="00684697">
        <w:t>i</w:t>
      </w:r>
      <w:r>
        <w:t>), piemēram, iekšējo normatīvo aktu un standartu, kas nosaka attiecības ar ieguldītājiem, vai noteikto limitu ievērošan</w:t>
      </w:r>
      <w:r w:rsidR="00ED3464">
        <w:t>a</w:t>
      </w:r>
      <w:r>
        <w:t>, atbilstoši šādām prasībām:</w:t>
      </w:r>
    </w:p>
    <w:p w14:paraId="395354B3" w14:textId="2A27A509" w:rsidR="00792618" w:rsidRDefault="00792618" w:rsidP="00A80859">
      <w:pPr>
        <w:pStyle w:val="NApunkts2"/>
        <w:keepLines w:val="0"/>
      </w:pPr>
      <w:r>
        <w:t>ja sabiedrība darbības rezultātu novērtēšanai izmanto finansiālos rādītājus, kas aprēķināti, pamatojoties uz grāmatvedības datiem, tā ņem vērā, ka šādi rādītāji ietver darbības rezultātus par iepriekšējiem periodiem, bet neietver riskus, kuru dēļ var rasties zaudējumi turpmākajos darbības periodos;</w:t>
      </w:r>
    </w:p>
    <w:p w14:paraId="0FC443FF" w14:textId="57BDFFB6" w:rsidR="00792618" w:rsidRDefault="00792618" w:rsidP="00A80859">
      <w:pPr>
        <w:pStyle w:val="NApunkts2"/>
        <w:keepLines w:val="0"/>
      </w:pPr>
      <w:r>
        <w:t>nefinansiālos rādītājus ņem vērā, izvērtējot darbības rezultātus individuāli. Nosakot nefinansiālo rādītāju nozīmi, sabiedrība ievēro, ka nefinansiālo rādītāju izmantošana individuālās darbības rezultātu novērtēšanā ir būtiska, jo nefinansiālo rādītāju neievērošana (vai nepilnīga ievērošana) var ietekmēt sabiedrības vai tās pārvaldē esoša ieguldījumu portfeļa riska profilu, kā arī sabiedrības vai tās pārvaldē esoša ieguldījumu portfeļa finanšu rezultātus;</w:t>
      </w:r>
    </w:p>
    <w:p w14:paraId="6EDE810C" w14:textId="084892DD" w:rsidR="00792618" w:rsidRDefault="00792618" w:rsidP="00A80859">
      <w:pPr>
        <w:pStyle w:val="NApunkts2"/>
        <w:keepLines w:val="0"/>
      </w:pPr>
      <w:r>
        <w:t>darbības rezultātu novērtēšanai izmantotos rādītājus, pamatojoties uz kuriem nosaka atalgojuma mainīgās daļas individuālo apmēru vai atalgojuma mainīgās daļas kopējo apmēru atbilstoši sabiedrības organizatoriskajai struktūrai, koriģē, ņemot vērā ar darbības rezultātiem saistīto esošo un varbūtējo risku izvērtējumu, gan struktūrvienības, gan sabiedrības pārvaldē esoša ieguldījumu portfeļa vai sabiedrības līmenī.</w:t>
      </w:r>
    </w:p>
    <w:p w14:paraId="7CBE76C7" w14:textId="3363965A" w:rsidR="00792618" w:rsidRPr="00792618" w:rsidRDefault="00792618" w:rsidP="00A80859">
      <w:pPr>
        <w:pStyle w:val="NAapaksnodala"/>
        <w:keepNext/>
      </w:pPr>
      <w:r>
        <w:rPr>
          <w:shd w:val="clear" w:color="auto" w:fill="FFFFFF"/>
        </w:rPr>
        <w:t>Papildu prasības, kas attiecas uz sabiedrības vai tās pārvaldē esoša ieguldījumu portfeļa riska profilu ietekmējošiem amatiem</w:t>
      </w:r>
    </w:p>
    <w:p w14:paraId="7F5B1466" w14:textId="17256B83" w:rsidR="0010527D" w:rsidRDefault="0010527D" w:rsidP="0010527D">
      <w:pPr>
        <w:pStyle w:val="NApunkts1"/>
      </w:pPr>
      <w:r>
        <w:t>Atalgojuma politikas pamatprincipos attiecībā uz sabiedrības vai tās pārvaldē esoša ieguldījumu portfeļa riska profilu ietekmējošiem amatiem papildus nosaka:</w:t>
      </w:r>
    </w:p>
    <w:p w14:paraId="4CFEAB61" w14:textId="41D8E452" w:rsidR="0010527D" w:rsidRDefault="0010527D" w:rsidP="00A80859">
      <w:pPr>
        <w:pStyle w:val="NApunkts2"/>
        <w:keepLines w:val="0"/>
      </w:pPr>
      <w:r>
        <w:t>būtiskas un īpaši augstas atalgojuma mainīgās daļas atlikšanas kārtību, ievērojot, ka būtiskas atalgojuma mainīgās daļas noteikšanas gadījumā ne mazāk kā 40</w:t>
      </w:r>
      <w:r w:rsidR="007E0302">
        <w:t> </w:t>
      </w:r>
      <w:r>
        <w:t>procentus (īpaši augstas atalgojuma mainīgās daļas noteikšanas gadījumā</w:t>
      </w:r>
      <w:r w:rsidR="007E0302">
        <w:t> </w:t>
      </w:r>
      <w:r>
        <w:t>– ne mazāk kā 60</w:t>
      </w:r>
      <w:r w:rsidR="007E0302">
        <w:t> </w:t>
      </w:r>
      <w:r>
        <w:t xml:space="preserve">procentus) no tās atliek uz periodu, kurš atbilst pārvaldnieka pārvaldē esošā attiecīgā fonda darbības ciklam un ieguldījumu apliecību (daļu) atpakaļpirkšanas politikai vai ieguldījumu pārvaldes sabiedrības pārvaldē esošā attiecīgā fonda ieguldījumu apliecību (daļu) ieteicamajam turēšanas periodam un kurš nav mazāks par trim līdz pieciem gadiem, un kura laikā var izvērtēt atalgojuma mainīgās daļas noteikšanā izmantotos sabiedrības pārvaldē esošā attiecīgā fonda darbības rezultātus, to noturīgumu un ar tiem saistītos </w:t>
      </w:r>
      <w:r>
        <w:lastRenderedPageBreak/>
        <w:t>riskus, vienlaikus ņemot vērā arī kopējā ieguldījumu portfeļa finansiālās darbības rezultātus. Minētais turēšanas periods neattiecas uz gadījumu, kad pārvaldnieka pārvaldē esošā attiecīgā fonda atlikušais darbības cikls ir īsāks par būtiskas un īpaši augstas atalgojuma mainīgās daļas atlikšanas periodu;</w:t>
      </w:r>
    </w:p>
    <w:p w14:paraId="126F24DD" w14:textId="6BABA5D4" w:rsidR="0010527D" w:rsidRDefault="0010527D" w:rsidP="00A80859">
      <w:pPr>
        <w:pStyle w:val="NApunkts2"/>
        <w:keepLines w:val="0"/>
      </w:pPr>
      <w:r>
        <w:t>īpaši augstas atalgojuma mainīgās daļas noteikšanas kārtību, ievērojot, ka īpaši augstas atalgojuma mainīgās daļas noteikšanas gadījumā, ņemot vērā sabiedrības pārvaldē esošo fondu juridisko statusu un to dibināšanas dokumentus, ne mazāk kā 50</w:t>
      </w:r>
      <w:r w:rsidR="007E0302">
        <w:t> </w:t>
      </w:r>
      <w:r>
        <w:t>procentus no tās nosaka nemonetārā formā, t</w:t>
      </w:r>
      <w:r w:rsidR="007E0302">
        <w:t xml:space="preserve">as </w:t>
      </w:r>
      <w:r>
        <w:t>i</w:t>
      </w:r>
      <w:r w:rsidR="007E0302">
        <w:t>r</w:t>
      </w:r>
      <w:r>
        <w:t>, sabiedrības pārvaldē esošā fonda, attiecībā uz kuru ieguldījumu portfeļa riska profilu ietekmējošā amata veicējs lielākoties īsteno savu darbību, ieguldījumu apliecībās (daļās). Ja ieguldījumu fondu vai alternatīvo ieguldījumu fondu kopējā neto aktīvu vērtība neveido vismaz 50</w:t>
      </w:r>
      <w:r w:rsidR="007E0302">
        <w:t> </w:t>
      </w:r>
      <w:r>
        <w:t>procentus no kopējo ieguldījumu portfeli veidojošo elementu neto aktīvu vērtības, nemonetārā formā var noteikt mazāk nekā 50 procentus no īpaši augstas atalgojuma mainīgās daļas. Sabiedrība attiecībā uz minētajiem instrumentiem nosaka tiem atbilstošu turēšanas politiku, tostarp gadu skaitu, cik ilgi attiecīgo nemonetāro instrumentu saņēmējs nav tiesīgs tos pārdot, lai nodrošinātu sabiedrības atalgojuma politikā noteikto motivējošo shēmu atbilstību sabiedrības un tās pārvaldē esošā fonda un šāda fonda ieguldītāju interesēm;</w:t>
      </w:r>
    </w:p>
    <w:p w14:paraId="2A531F86" w14:textId="36834DEC" w:rsidR="0010527D" w:rsidRPr="000307DB" w:rsidRDefault="0010527D" w:rsidP="00A80859">
      <w:pPr>
        <w:pStyle w:val="NApunkts2"/>
        <w:keepLines w:val="0"/>
      </w:pPr>
      <w:r>
        <w:t>katram riska profilu ietekmējošajam amatam atbilstošas atalgojuma mainīgās daļas neatkarīgi no tās struktūras (ieguldījumu apliecības (daļas</w:t>
      </w:r>
      <w:r w:rsidRPr="000307DB">
        <w:t>), nauda vai citi maksāšanas līdzekļi) izmaksas un neatsaucamu tiesību uz to iegūšanas nosacījumus, ņemot vērā, ka:</w:t>
      </w:r>
    </w:p>
    <w:p w14:paraId="0FA65A20" w14:textId="4623FCF9" w:rsidR="0010527D" w:rsidRPr="000307DB" w:rsidRDefault="0010527D" w:rsidP="00A80859">
      <w:pPr>
        <w:pStyle w:val="NApunkts3"/>
        <w:keepLines w:val="0"/>
      </w:pPr>
      <w:r w:rsidRPr="000307DB">
        <w:t xml:space="preserve">atalgojuma mainīgās daļas, </w:t>
      </w:r>
      <w:r w:rsidR="00ED3464">
        <w:t>tai skaitā</w:t>
      </w:r>
      <w:r w:rsidRPr="000307DB">
        <w:t xml:space="preserve"> atliktās daļas, faktisko izmaksu veic vai neatsaucamas tiesības, ievērojot šo noteikumu 18.3.2.</w:t>
      </w:r>
      <w:r w:rsidR="007E0302">
        <w:t> </w:t>
      </w:r>
      <w:r w:rsidR="002A7B8B" w:rsidRPr="000307DB">
        <w:t>apakš</w:t>
      </w:r>
      <w:r w:rsidRPr="000307DB">
        <w:t xml:space="preserve">punkta prasības, uz to iegūst atbilstoši pārvaldnieka pārvaldē esošā fonda ieguldījumu apliecību (daļu) atpakaļpirkšanas politikai vai ieguldījumu pārvaldes sabiedrības pārvaldē esošā attiecīgā fonda ieguldījumu apliecību (daļu) ieteicamajam turēšanas periodam, </w:t>
      </w:r>
      <w:r w:rsidR="00ED3464">
        <w:t>tostarp</w:t>
      </w:r>
      <w:r w:rsidRPr="000307DB">
        <w:t xml:space="preserve">, ņemot vērā ieguldījumu riskus, kā arī gadījumā, ja tā atbilst sabiedrības finansiālajam stāvoklim kopumā un sabiedrības pārvaldē esošā fonda, riska profilu ietekmējošā amata veicēja un attiecīgās struktūrvienības darbības rezultātiem. Sabiedrība samazina atalgojuma mainīgās daļas kopējo apmēru, </w:t>
      </w:r>
      <w:r w:rsidR="00ED3464">
        <w:t>tai skaitā</w:t>
      </w:r>
      <w:r w:rsidRPr="000307DB">
        <w:t xml:space="preserve"> atalgojuma mainīgās daļas atliktās daļas kopējo apmēru, ja sabiedrības vai tās pārvaldē esošā fonda, attiecībā uz kuru riska profilu ietekmējošā amata veicējs lielākoties īsteno savu darbību, finansiālās darbības rezultāti pasliktinās vai ir negatīvi, vienlaikus ņemot vērā arī kopējā ieguldījumu portfeļa finansiālās darbības rezultātus. Sabiedrība saskaņā ar Darba likuma 78. un 79.</w:t>
      </w:r>
      <w:r w:rsidR="007E0302">
        <w:t> </w:t>
      </w:r>
      <w:r w:rsidRPr="000307DB">
        <w:t>pantā noteikto nodrošina tādu mehānismu izmantošanu kā izmaksātās atalgojuma mainīgās daļas atmaksas pieprasīšana vai atalgojuma mainīgās daļas atliktās daļas, uz kuru ir iegūtas neatsaucamas tiesības, kopējā apmēra daļēja vai pilnīga samazināšana, ja tā piešķirta par darbības rezultātiem, pamatojoties uz datiem, kas vēlāk izrādījušies ar nolūku sagrozīti (ļaunprātīga rīcība), vai atalgojuma mainīgās daļas atliktās daļas, uz kuru nav iegūtas neatsaucamas tiesības, kopējā apmēra daļēja vai pilnīga samazināšana, pamatojoties uz faktiskajiem darbības rezultātiem;</w:t>
      </w:r>
    </w:p>
    <w:p w14:paraId="4C14C46F" w14:textId="239B7BB5" w:rsidR="0010527D" w:rsidRPr="000307DB" w:rsidRDefault="0010527D" w:rsidP="00A80859">
      <w:pPr>
        <w:pStyle w:val="NApunkts3"/>
        <w:keepLines w:val="0"/>
      </w:pPr>
      <w:r w:rsidRPr="000307DB">
        <w:t>neatsaucamas tiesības uz atalgojuma mainīgās daļas atlikto daļu iegūst proporcionāli periodam (gadu skaitam), uz kādu atlikta atalgojuma mainīgā daļa, bet ne ātrāk kā 12</w:t>
      </w:r>
      <w:r w:rsidR="007E0302">
        <w:t> </w:t>
      </w:r>
      <w:r w:rsidRPr="000307DB">
        <w:t>mēnešus pēc atalgojuma mainīgās daļas noteikšanas. Pirms neatsaucamu tiesību uz atalgojuma mainīgās daļas atlikto daļu iegūšanas to nepieciešamības gadījumā koriģē (samazina), ņemot vērā tās sākotnējā aprēķinā neietvertos riskus, kas kļuvuši zināmi periodā, uz kuru atlikta atalgojuma mainīgā daļa, un kas ir saistīti ar darbības rezultātiem, par kuru sasniegšanu noteikta atalgojuma mainīgās daļas atliktā daļa. Sabiedrība ievēro, ka atalgojuma mainīgās daļas atliktās daļas faktisko izmaksu var veikt, kad uz to ir iegūtas neatsaucamas tiesības, kā arī par atalgojuma mainīgās daļas atlikto daļu, uz kuru nav iegūtas neatsaucamas tiesības, netiek noteiktas, aprēķinātas un izmaksātas dividendes vai procenti;</w:t>
      </w:r>
    </w:p>
    <w:p w14:paraId="6EA1B414" w14:textId="38F28C2E" w:rsidR="0010527D" w:rsidRPr="000307DB" w:rsidRDefault="0010527D" w:rsidP="00A80859">
      <w:pPr>
        <w:pStyle w:val="NApunkts3"/>
        <w:keepLines w:val="0"/>
      </w:pPr>
      <w:r w:rsidRPr="000307DB">
        <w:lastRenderedPageBreak/>
        <w:t xml:space="preserve">veicot īpaši augstas atalgojuma mainīgās daļas, </w:t>
      </w:r>
      <w:r w:rsidR="00952FEC">
        <w:t>tai skaitā</w:t>
      </w:r>
      <w:r w:rsidRPr="000307DB">
        <w:t xml:space="preserve"> atliktās daļas, faktisko izmaksu, šo noteikumu 18.2.</w:t>
      </w:r>
      <w:r w:rsidR="007E0302">
        <w:t> </w:t>
      </w:r>
      <w:r w:rsidR="002A7B8B" w:rsidRPr="000307DB">
        <w:t>apakš</w:t>
      </w:r>
      <w:r w:rsidRPr="000307DB">
        <w:t>punkta prasības piemēro gan atalgojuma mainīgās daļas atliktajai daļai, gan neatliktajai daļai;</w:t>
      </w:r>
    </w:p>
    <w:p w14:paraId="031ADA5C" w14:textId="4BF8833F" w:rsidR="0010527D" w:rsidRPr="000307DB" w:rsidRDefault="0010527D" w:rsidP="00A80859">
      <w:pPr>
        <w:pStyle w:val="NApunkts2"/>
        <w:keepLines w:val="0"/>
      </w:pPr>
      <w:r w:rsidRPr="000307DB">
        <w:t>atlīdzības, kas pārsniedz Darba likumā noteikto atlaišanas pabalsta apmēru darba līguma vai pilnvarojuma līguma uzteikšanas gadījumā, samazināšanas vai neizmaksāšanas nosacījumus, ja sabiedrības vai tās pārvaldē esošā ieguldījumu portfeļa riska profilu ietekmējošā amata veicēja darbības periodā ir konstatētas kļūdas un nepilnības. Sabiedrība nodrošina, ka atlīdzība darba līguma vai pilnvarojuma līguma uzteikšanas gadījumā atspoguļo darba tiesisko attiecību laikā sasniegtos rezultātus;</w:t>
      </w:r>
    </w:p>
    <w:p w14:paraId="4B8DFB9B" w14:textId="1BFEB1F8" w:rsidR="0010527D" w:rsidRPr="000307DB" w:rsidRDefault="0010527D" w:rsidP="00A80859">
      <w:pPr>
        <w:pStyle w:val="NApunkts2"/>
        <w:keepLines w:val="0"/>
      </w:pPr>
      <w:r w:rsidRPr="000307DB">
        <w:t>ar pensionēšanos saistīto labumu, kas ir atalgojuma mainīgās daļas elements, izmaksas nemonetārā formā, t</w:t>
      </w:r>
      <w:r w:rsidR="00952FEC">
        <w:t xml:space="preserve">as </w:t>
      </w:r>
      <w:r w:rsidRPr="000307DB">
        <w:t>i</w:t>
      </w:r>
      <w:r w:rsidR="00952FEC">
        <w:t>r</w:t>
      </w:r>
      <w:r w:rsidRPr="000307DB">
        <w:t xml:space="preserve">, sabiedrības pārvaldē esošā attiecīgā fonda ieguldījumu apliecībās (daļās), </w:t>
      </w:r>
      <w:r w:rsidR="00952FEC" w:rsidRPr="000307DB">
        <w:t>nosacījumus</w:t>
      </w:r>
      <w:r w:rsidR="00952FEC">
        <w:t>,</w:t>
      </w:r>
      <w:r w:rsidRPr="000307DB">
        <w:t xml:space="preserve"> ievērojot šādas prasības:</w:t>
      </w:r>
    </w:p>
    <w:p w14:paraId="3F449411" w14:textId="4487DBFE" w:rsidR="0010527D" w:rsidRDefault="0010527D" w:rsidP="00A80859">
      <w:pPr>
        <w:pStyle w:val="NApunkts3"/>
        <w:keepLines w:val="0"/>
      </w:pPr>
      <w:r>
        <w:t>ja darba tiesiskās attiecības tiek pārtrauktas pirms pensionēšanās vecuma sasniegšanas, sabiedrība nodrošina ar pensionēšanos saistīto labumu nemonetārā formā turēšanu savā īpašumā ne mazāk kā piecus gadus vai periodu, kas atbilst attiecīgā fonda darbības ilgumam, ja tas ir mazāks par pieciem gadiem, t</w:t>
      </w:r>
      <w:r w:rsidR="00952FEC">
        <w:t xml:space="preserve">as </w:t>
      </w:r>
      <w:r>
        <w:t>i</w:t>
      </w:r>
      <w:r w:rsidR="00952FEC">
        <w:t>r</w:t>
      </w:r>
      <w:r>
        <w:t xml:space="preserve">, ar pensionēšanos saistītos labumus nemonetārā formā </w:t>
      </w:r>
      <w:r w:rsidR="009B3699">
        <w:t xml:space="preserve">izmaksā </w:t>
      </w:r>
      <w:r>
        <w:t>piecus gadus pēc darba attiecību pārtraukšanas</w:t>
      </w:r>
      <w:r w:rsidR="00952FEC">
        <w:t xml:space="preserve">, </w:t>
      </w:r>
      <w:r w:rsidR="00017BDD">
        <w:t>k</w:t>
      </w:r>
      <w:r w:rsidR="00952FEC">
        <w:t>as notikusi</w:t>
      </w:r>
      <w:r>
        <w:t xml:space="preserve"> pirms pensionēšanās vecuma sasniegšanas;</w:t>
      </w:r>
    </w:p>
    <w:p w14:paraId="73614790" w14:textId="2229E788" w:rsidR="0010527D" w:rsidRDefault="0010527D" w:rsidP="00A80859">
      <w:pPr>
        <w:pStyle w:val="NApunkts3"/>
        <w:keepLines w:val="0"/>
      </w:pPr>
      <w:r>
        <w:t xml:space="preserve">amatpersonai vai darbiniekam sasniedzot pensionēšanās vecumu, sabiedrība nodrošina, ka ar pensionēšanos saistītos labumus nemonetārā formā </w:t>
      </w:r>
      <w:r w:rsidR="009B3699" w:rsidRPr="00017BDD">
        <w:t>izmaksā</w:t>
      </w:r>
      <w:r>
        <w:t xml:space="preserve"> un tiem tiek piemērota sabiedrības noteiktā nemonetāro instrumentu turēšanas politika, ievērojot, ka minēto instrumentu turēšanas periods nedrīkst būt īsāks par pieciem gadiem vai par periodu, kas atbilst attiecīgā fonda darbības ilgumam, ja tas ir mazāks par pieciem gadiem, t</w:t>
      </w:r>
      <w:r w:rsidR="00952FEC">
        <w:t xml:space="preserve">as </w:t>
      </w:r>
      <w:r>
        <w:t>i</w:t>
      </w:r>
      <w:r w:rsidR="00952FEC">
        <w:t>r</w:t>
      </w:r>
      <w:r>
        <w:t>, amatpersona vai darbinieks saņemtos ar pensionēšanos saistītos labumus nemonetārā formā drīkst pārdot ne ātrāk kā piecus gadus pēc pensionēšanās vecuma sasniegšanas.</w:t>
      </w:r>
    </w:p>
    <w:p w14:paraId="76D3A665" w14:textId="2439F2FC" w:rsidR="0010527D" w:rsidRPr="000307DB" w:rsidRDefault="0010527D" w:rsidP="0010527D">
      <w:pPr>
        <w:pStyle w:val="NApunkts1"/>
      </w:pPr>
      <w:r>
        <w:t>Atalgojuma mainīgo daļu sabiedrības vai tā</w:t>
      </w:r>
      <w:r w:rsidR="009A6565">
        <w:t>s</w:t>
      </w:r>
      <w:r>
        <w:t xml:space="preserve"> pārvaldē esoša ieguldījumu portfeļa riska profilu ietekmējošiem amatiem papildus šo </w:t>
      </w:r>
      <w:r w:rsidRPr="000307DB">
        <w:t>noteikumu 17.</w:t>
      </w:r>
      <w:r w:rsidR="007E0302">
        <w:t> </w:t>
      </w:r>
      <w:r w:rsidRPr="000307DB">
        <w:t>punktā minētajam nosaka, ievērojot šādas prasības:</w:t>
      </w:r>
    </w:p>
    <w:p w14:paraId="0762E7A2" w14:textId="0508A82B" w:rsidR="0010527D" w:rsidRDefault="0010527D" w:rsidP="00A80859">
      <w:pPr>
        <w:pStyle w:val="NApunkts2"/>
        <w:keepLines w:val="0"/>
      </w:pPr>
      <w:r w:rsidRPr="000307DB">
        <w:t>atalgojuma mainīgās daļas noteikšanā ņem vērā amatpersonas vai darbinieka darbības rezultātu novērtējumu individuāli kontekstā ar darbības rezultātu</w:t>
      </w:r>
      <w:r>
        <w:t xml:space="preserve"> novērtējumu attiecīgās struktūrvienības vai sabiedrības pārvaldē esošā attiecīgā ieguldījumu portfeļa līmenī un kontekstā ar vispārējiem darbības rezultātiem sabiedrības līmenī</w:t>
      </w:r>
      <w:r w:rsidR="009B3699">
        <w:t xml:space="preserve"> un</w:t>
      </w:r>
      <w:r>
        <w:t xml:space="preserve"> konsolidācijas grupas līmenī, kā arī </w:t>
      </w:r>
      <w:r w:rsidR="009A6565">
        <w:t xml:space="preserve">sabiedrības </w:t>
      </w:r>
      <w:r>
        <w:t>darbinieku, piemēram, risku kontroles funkcijas</w:t>
      </w:r>
      <w:r w:rsidR="009A6565">
        <w:t xml:space="preserve"> veicēju</w:t>
      </w:r>
      <w:r>
        <w:t xml:space="preserve">, izteiktos novērtējumus par </w:t>
      </w:r>
      <w:r w:rsidR="009A6565">
        <w:t xml:space="preserve">amatpersonas vai darbinieka </w:t>
      </w:r>
      <w:r>
        <w:t>darbības rezultātu noturīgumu (pastāvīgumu);</w:t>
      </w:r>
    </w:p>
    <w:p w14:paraId="20E4A186" w14:textId="06235599" w:rsidR="0010527D" w:rsidRDefault="009A6565" w:rsidP="00A80859">
      <w:pPr>
        <w:pStyle w:val="NApunkts2"/>
        <w:keepLines w:val="0"/>
      </w:pPr>
      <w:r w:rsidRPr="0010644D">
        <w:t xml:space="preserve">amatpersonas vai darbinieka </w:t>
      </w:r>
      <w:r w:rsidR="0010527D" w:rsidRPr="0010644D">
        <w:t xml:space="preserve">darbības rezultātu novērtēšanā ņem vērā vairāku gadu </w:t>
      </w:r>
      <w:r w:rsidR="0010644D" w:rsidRPr="0010644D">
        <w:t xml:space="preserve">darbības rezultātu rādītājus </w:t>
      </w:r>
      <w:r w:rsidR="0010527D" w:rsidRPr="0010644D">
        <w:t>atbilstoši pārvaldnieka pārvaldē esoša fonda darbības ciklam vai ieguldījumu pārvaldes sabiedrības pārvaldē esoša fonda ieguldījumu apliecību (daļu) ieteicamajam turēšanas periodam, lai nodrošinātu</w:t>
      </w:r>
      <w:r w:rsidR="0010527D">
        <w:t xml:space="preserve">, ka </w:t>
      </w:r>
      <w:r>
        <w:t xml:space="preserve">amatpersonas vai darbinieka </w:t>
      </w:r>
      <w:r w:rsidR="0010527D">
        <w:t>darbības rezultātu novērtēšana ir pamatota ar ilgtermiņa darbības rezultātiem (t</w:t>
      </w:r>
      <w:r w:rsidR="001C06E6">
        <w:t>ai skaitā</w:t>
      </w:r>
      <w:r w:rsidR="0010527D">
        <w:t xml:space="preserve"> ir ņemts vērā ieguldījuma risks), kā arī ir ņemta vērā pārvaldnieka pārvaldē esoša fonda ieguldījumu apliecību (daļu) atpakaļpirkšanas politika.</w:t>
      </w:r>
    </w:p>
    <w:p w14:paraId="12F38B39" w14:textId="33B33C4A" w:rsidR="0010527D" w:rsidRDefault="0010527D" w:rsidP="0010527D">
      <w:pPr>
        <w:pStyle w:val="NApunkts1"/>
      </w:pPr>
      <w:r>
        <w:t>Izstrādājot un dokumentējot metodes finansiālo rādītāju koriģēšanai attiecībā uz sabiedrības vai tās pārvaldē esoša ieguldījumu portfeļa riska profilu ietekmējošiem amatiem, ieteicams noteikt, kā atalgojuma mainīgās daļas noteikšanā katrai amatpersonai vai darbiniekam atspoguļo:</w:t>
      </w:r>
    </w:p>
    <w:p w14:paraId="7B4417D9" w14:textId="3B390AC6" w:rsidR="0010527D" w:rsidRDefault="0010527D" w:rsidP="00A80859">
      <w:pPr>
        <w:pStyle w:val="NApunkts2"/>
        <w:keepLines w:val="0"/>
      </w:pPr>
      <w:r>
        <w:t>riskus, k</w:t>
      </w:r>
      <w:r w:rsidR="009B3699">
        <w:t>as</w:t>
      </w:r>
      <w:r>
        <w:t xml:space="preserve"> rodas vai var rasties darbības veidos, kuros nodarbināta attiecīgā amatpersona vai darbinieks;</w:t>
      </w:r>
    </w:p>
    <w:p w14:paraId="72EEC934" w14:textId="49A43CDF" w:rsidR="0010527D" w:rsidRDefault="0010527D" w:rsidP="00A80859">
      <w:pPr>
        <w:pStyle w:val="NApunkts2"/>
        <w:keepLines w:val="0"/>
      </w:pPr>
      <w:r>
        <w:t>iekšējās kontroles elementus esošo un varbūtējo risku mazināšanai;</w:t>
      </w:r>
    </w:p>
    <w:p w14:paraId="6B21F6CF" w14:textId="519293AF" w:rsidR="0010527D" w:rsidRDefault="0010527D" w:rsidP="00A80859">
      <w:pPr>
        <w:pStyle w:val="NApunkts2"/>
        <w:keepLines w:val="0"/>
      </w:pPr>
      <w:r>
        <w:lastRenderedPageBreak/>
        <w:t>periodu, kas nepieciešams, lai varētu izvērtēt darbības veida, kurā nodarbināta attiecīgā amatpersona vai darbinieks, rezultātu.</w:t>
      </w:r>
    </w:p>
    <w:p w14:paraId="7AFE49F8" w14:textId="46D13DA0" w:rsidR="002F2A54" w:rsidRDefault="00863BAC" w:rsidP="00863BAC">
      <w:pPr>
        <w:pStyle w:val="NAnodala"/>
      </w:pPr>
      <w:r w:rsidRPr="00863BAC">
        <w:t>Informācijas par atalgojuma politiku un praksi atklāšana</w:t>
      </w:r>
    </w:p>
    <w:p w14:paraId="55C015EE" w14:textId="7720A8C8" w:rsidR="00A965AF" w:rsidRPr="00A965AF" w:rsidRDefault="00A965AF" w:rsidP="00A965AF">
      <w:pPr>
        <w:pStyle w:val="NApunkts1"/>
      </w:pPr>
      <w:r w:rsidRPr="00A965AF">
        <w:rPr>
          <w:bCs/>
        </w:rPr>
        <w:t>I</w:t>
      </w:r>
      <w:r w:rsidRPr="00A965AF">
        <w:t>evērojot normatīvos aktus fizisko personu datu aizsardzības jomā, sabiedrība ne retāk kā vienu reizi gadā atklāj atjaun</w:t>
      </w:r>
      <w:r w:rsidR="00952FEC">
        <w:t>inā</w:t>
      </w:r>
      <w:r w:rsidRPr="00A965AF">
        <w:t xml:space="preserve">tu informāciju par īstenoto atalgojuma politiku un praksi attiecībā uz riska profilu ietekmējošiem amatiem, izvēloties piemērotu informācijas nesēju un vietu, kā arī nodrošina publiskotās informācijas aktualitāti. Informācijas publicēšana </w:t>
      </w:r>
      <w:r w:rsidR="009E379E">
        <w:t>sabiedrības tīmekļvietnē</w:t>
      </w:r>
      <w:r w:rsidR="009E379E" w:rsidRPr="00A965AF">
        <w:t xml:space="preserve"> </w:t>
      </w:r>
      <w:r w:rsidRPr="00A965AF">
        <w:t xml:space="preserve">tiek uzskatīta par piemērotu </w:t>
      </w:r>
      <w:r w:rsidR="00F141E9">
        <w:t>informācijas atklāšanas veidu</w:t>
      </w:r>
      <w:r w:rsidRPr="00A965AF">
        <w:t xml:space="preserve">. Sabiedrība </w:t>
      </w:r>
      <w:r w:rsidR="00F141E9">
        <w:t>atklāj</w:t>
      </w:r>
      <w:r w:rsidRPr="00A965AF">
        <w:t>:</w:t>
      </w:r>
    </w:p>
    <w:p w14:paraId="7EFABD1F" w14:textId="68EF36F7" w:rsidR="00A965AF" w:rsidRPr="000307DB" w:rsidRDefault="00A965AF" w:rsidP="00A80859">
      <w:pPr>
        <w:pStyle w:val="NApunkts2"/>
        <w:keepLines w:val="0"/>
      </w:pPr>
      <w:r w:rsidRPr="00A965AF">
        <w:t xml:space="preserve">informāciju, kas </w:t>
      </w:r>
      <w:r w:rsidRPr="000307DB">
        <w:t>raksturo atalgojuma politikas noteikšanas un īstenošanas kārtību sabiedrībā, ņemot vērā šo noteikumu 15.</w:t>
      </w:r>
      <w:r w:rsidR="007E0302">
        <w:t> </w:t>
      </w:r>
      <w:r w:rsidRPr="000307DB">
        <w:t xml:space="preserve">punktā minēto personu iesaisti iekšējo normatīvo aktu izstrādē un īstenošanas nodrošināšanā, </w:t>
      </w:r>
      <w:r w:rsidR="00952FEC">
        <w:t>tai skaitā</w:t>
      </w:r>
      <w:r w:rsidRPr="000307DB">
        <w:t xml:space="preserve"> informāciju par atalgojuma komitejas, ja tāda ir izveidota, </w:t>
      </w:r>
      <w:r w:rsidR="00F141E9" w:rsidRPr="000307DB">
        <w:t xml:space="preserve">sastāvu </w:t>
      </w:r>
      <w:r w:rsidRPr="000307DB">
        <w:t>un pilnvarām, par ārējiem ekspertiem, ja to pakalpojumi izmantoti atalgojuma politikas noteikšanā, un par citu ieinteresēto pušu lomu atalgojuma politikas noteikšanā;</w:t>
      </w:r>
    </w:p>
    <w:p w14:paraId="62FCB682" w14:textId="206BAB74" w:rsidR="00A965AF" w:rsidRPr="000307DB" w:rsidRDefault="00A965AF" w:rsidP="00A80859">
      <w:pPr>
        <w:pStyle w:val="NApunkts2"/>
        <w:keepLines w:val="0"/>
      </w:pPr>
      <w:r w:rsidRPr="000307DB">
        <w:t xml:space="preserve">atalgojuma politikas mērķus, atalgojuma elementus un riska profilu ietekmējošos amatus atbilstoši šo noteikumu </w:t>
      </w:r>
      <w:r w:rsidR="009E379E" w:rsidRPr="000307DB">
        <w:t>2</w:t>
      </w:r>
      <w:r w:rsidRPr="000307DB">
        <w:t>.</w:t>
      </w:r>
      <w:r w:rsidR="00F141E9" w:rsidRPr="000307DB">
        <w:t>7</w:t>
      </w:r>
      <w:r w:rsidRPr="000307DB">
        <w:t>.</w:t>
      </w:r>
      <w:r w:rsidR="007E0302">
        <w:t> </w:t>
      </w:r>
      <w:r w:rsidR="002A7B8B" w:rsidRPr="000307DB">
        <w:t>apakš</w:t>
      </w:r>
      <w:r w:rsidRPr="000307DB">
        <w:t>punktā minētajām kategorijām, kā arī kritērijus to noteikšanai;</w:t>
      </w:r>
    </w:p>
    <w:p w14:paraId="5BCFAFD3" w14:textId="47E068F9" w:rsidR="00A965AF" w:rsidRPr="000307DB" w:rsidRDefault="00A965AF" w:rsidP="00A80859">
      <w:pPr>
        <w:pStyle w:val="NApunkts2"/>
        <w:keepLines w:val="0"/>
      </w:pPr>
      <w:r w:rsidRPr="000307DB">
        <w:t xml:space="preserve">atalgojuma saistību ar darbības rezultātiem, </w:t>
      </w:r>
      <w:r w:rsidR="00952FEC">
        <w:t>tai skaitā</w:t>
      </w:r>
      <w:r w:rsidRPr="000307DB">
        <w:t>:</w:t>
      </w:r>
    </w:p>
    <w:p w14:paraId="0F0A3612" w14:textId="101B5878" w:rsidR="00A965AF" w:rsidRPr="00A965AF" w:rsidRDefault="00A965AF" w:rsidP="00A80859">
      <w:pPr>
        <w:pStyle w:val="NApunkts3"/>
        <w:keepLines w:val="0"/>
      </w:pPr>
      <w:r w:rsidRPr="000307DB">
        <w:t>izmantotos rādītājus un metodes darbības rezultātu novērtēšanai un atalgojuma mainīgās daļas monetārā vai nemonetārā formā</w:t>
      </w:r>
      <w:r w:rsidRPr="00A965AF">
        <w:t xml:space="preserve"> noteikšanai;</w:t>
      </w:r>
    </w:p>
    <w:p w14:paraId="5BA61F62" w14:textId="3EBDFD32" w:rsidR="00A965AF" w:rsidRPr="00A965AF" w:rsidRDefault="00A965AF" w:rsidP="00A80859">
      <w:pPr>
        <w:pStyle w:val="NApunkts3"/>
        <w:keepLines w:val="0"/>
      </w:pPr>
      <w:r w:rsidRPr="00A965AF">
        <w:t>darbības rezultātu novērtēšanai izmantotajiem rādītājiem faktiski pie</w:t>
      </w:r>
      <w:r w:rsidR="00952FEC">
        <w:t>mēr</w:t>
      </w:r>
      <w:r w:rsidRPr="00A965AF">
        <w:t>otās korekcijas, ņemot vērā ar sabiedrības darbības rezultātiem saistīto esošo un varbūtējo risku izvērtējumu;</w:t>
      </w:r>
    </w:p>
    <w:p w14:paraId="46F0CF46" w14:textId="30CD88A5" w:rsidR="00A965AF" w:rsidRPr="00A965AF" w:rsidRDefault="00A965AF" w:rsidP="00A80859">
      <w:pPr>
        <w:pStyle w:val="NApunkts3"/>
        <w:keepLines w:val="0"/>
      </w:pPr>
      <w:r w:rsidRPr="00A965AF">
        <w:t>atalgojuma mainīgās daļas monetārā vai nemonetārā formā atlikšanas, neatsaucamu tiesību uz to iegūšanas, kā arī tās izmaksas nosacījumus.</w:t>
      </w:r>
    </w:p>
    <w:p w14:paraId="37001479" w14:textId="0154323B" w:rsidR="00A965AF" w:rsidRDefault="00A965AF" w:rsidP="00A965AF">
      <w:pPr>
        <w:pStyle w:val="NApunkts1"/>
      </w:pPr>
      <w:r w:rsidRPr="00A965AF">
        <w:t xml:space="preserve">Informāciju par pārskata periodā īstenoto atalgojuma politiku un praksi sabiedrība atklāj vienlaikus ar gada pārskata vai konsolidētā gada pārskata publiskošanu par </w:t>
      </w:r>
      <w:r w:rsidR="009B3699">
        <w:t>t</w:t>
      </w:r>
      <w:r w:rsidRPr="00A965AF">
        <w:t>o pašu pārskata periodu.</w:t>
      </w:r>
      <w:r w:rsidR="00840034">
        <w:t xml:space="preserve"> </w:t>
      </w:r>
    </w:p>
    <w:p w14:paraId="5A0BBC25" w14:textId="50004FBE" w:rsidR="00840034" w:rsidRPr="004F29B1" w:rsidRDefault="00840034" w:rsidP="00A965AF">
      <w:pPr>
        <w:pStyle w:val="NAnodala"/>
      </w:pPr>
      <w:r>
        <w:t>Noslēguma jautājumi</w:t>
      </w:r>
    </w:p>
    <w:p w14:paraId="0C7C1770" w14:textId="5D4AD994" w:rsidR="0005032E" w:rsidRDefault="00840034" w:rsidP="0005032E">
      <w:pPr>
        <w:pStyle w:val="NApunkts1"/>
      </w:pPr>
      <w:r>
        <w:t>Atzīt par spēku zaudējušiem</w:t>
      </w:r>
      <w:r w:rsidR="00C55FE6" w:rsidRPr="00C55FE6">
        <w:t xml:space="preserve"> Finanšu un kapitāla tirgus komisijas 202</w:t>
      </w:r>
      <w:r w:rsidR="00A965AF">
        <w:t>0</w:t>
      </w:r>
      <w:r w:rsidR="00C55FE6" w:rsidRPr="00C55FE6">
        <w:t>.</w:t>
      </w:r>
      <w:r w:rsidR="007E0302">
        <w:t> </w:t>
      </w:r>
      <w:r w:rsidR="00C55FE6" w:rsidRPr="00C55FE6">
        <w:t xml:space="preserve">gada </w:t>
      </w:r>
      <w:r w:rsidR="00A965AF">
        <w:t>15</w:t>
      </w:r>
      <w:r w:rsidR="00C55FE6" w:rsidRPr="00C55FE6">
        <w:t>.</w:t>
      </w:r>
      <w:r w:rsidR="007E0302">
        <w:t> </w:t>
      </w:r>
      <w:r w:rsidR="00BA21F0">
        <w:t>septembra</w:t>
      </w:r>
      <w:r w:rsidR="00C55FE6" w:rsidRPr="00C55FE6">
        <w:t xml:space="preserve"> normatīvos noteikumus Nr.</w:t>
      </w:r>
      <w:r w:rsidR="009C1C02">
        <w:t> </w:t>
      </w:r>
      <w:r w:rsidR="00C55FE6">
        <w:t>1</w:t>
      </w:r>
      <w:r w:rsidR="00A965AF">
        <w:t>54</w:t>
      </w:r>
      <w:r w:rsidR="00C55FE6" w:rsidRPr="00C55FE6">
        <w:t xml:space="preserve"> "</w:t>
      </w:r>
      <w:r w:rsidR="00A965AF" w:rsidRPr="00A965AF">
        <w:t>Normatīvie noteikumi par ieguldījumu pārvaldes sabiedrības un alternatīvo ieguldījumu fondu pārvaldnieka atalgojuma politikas pamatprincipiem</w:t>
      </w:r>
      <w:r w:rsidR="00C55FE6" w:rsidRPr="00C55FE6">
        <w:t>" (Latvijas Vēstnesis, 202</w:t>
      </w:r>
      <w:r w:rsidR="00A965AF">
        <w:t>0</w:t>
      </w:r>
      <w:r w:rsidR="00C55FE6" w:rsidRPr="00C55FE6">
        <w:t>, Nr.</w:t>
      </w:r>
      <w:r w:rsidR="007E0302">
        <w:t> </w:t>
      </w:r>
      <w:r w:rsidR="00BA21F0">
        <w:t>1</w:t>
      </w:r>
      <w:r w:rsidR="00A965AF">
        <w:t>8</w:t>
      </w:r>
      <w:r w:rsidR="00BA21F0">
        <w:t>6</w:t>
      </w:r>
      <w:r w:rsidR="00C55FE6" w:rsidRPr="00C55FE6">
        <w:t>)</w:t>
      </w:r>
      <w:r>
        <w:t>.</w:t>
      </w:r>
      <w:bookmarkStart w:id="4" w:name="p46"/>
      <w:bookmarkStart w:id="5" w:name="p-1017060"/>
      <w:bookmarkEnd w:id="4"/>
      <w:bookmarkEnd w:id="5"/>
    </w:p>
    <w:p w14:paraId="50C07B0C" w14:textId="12D08B2E" w:rsidR="00840034" w:rsidRDefault="00840034" w:rsidP="00C902AC">
      <w:pPr>
        <w:pStyle w:val="NApunkts1"/>
        <w:keepNext/>
        <w:keepLines/>
      </w:pPr>
      <w:bookmarkStart w:id="6" w:name="p47"/>
      <w:bookmarkStart w:id="7" w:name="p-1017061"/>
      <w:bookmarkEnd w:id="6"/>
      <w:bookmarkEnd w:id="7"/>
      <w:r>
        <w:t>Noteikumi</w:t>
      </w:r>
      <w:r w:rsidRPr="00CE5C02">
        <w:t xml:space="preserve"> stājas spēkā </w:t>
      </w:r>
      <w:r w:rsidR="00C55FE6">
        <w:t>2025.</w:t>
      </w:r>
      <w:r w:rsidR="009C1C02">
        <w:t> </w:t>
      </w:r>
      <w:r w:rsidR="00C55FE6">
        <w:t>gada 1.</w:t>
      </w:r>
      <w:r w:rsidR="009C1C02">
        <w:t> </w:t>
      </w:r>
      <w:r w:rsidR="00C55FE6">
        <w:t>janvārī.</w:t>
      </w:r>
    </w:p>
    <w:p w14:paraId="64384C41" w14:textId="49B3FC55" w:rsidR="006B1B28" w:rsidRPr="0058712F" w:rsidRDefault="006B1B28" w:rsidP="00A80859">
      <w:pPr>
        <w:pStyle w:val="NApunkts1"/>
        <w:numPr>
          <w:ilvl w:val="0"/>
          <w:numId w:val="0"/>
        </w:numPr>
        <w:jc w:val="left"/>
        <w:rPr>
          <w:b/>
          <w:bCs/>
        </w:rPr>
      </w:pPr>
      <w:r w:rsidRPr="0058712F">
        <w:rPr>
          <w:b/>
          <w:bCs/>
        </w:rPr>
        <w:t xml:space="preserve">Informatīva atsauce uz Eiropas Savienības </w:t>
      </w:r>
      <w:bookmarkStart w:id="8" w:name="es-1157453"/>
      <w:bookmarkEnd w:id="8"/>
      <w:r w:rsidR="004004B9">
        <w:rPr>
          <w:b/>
          <w:bCs/>
        </w:rPr>
        <w:t>tiesību aktiem</w:t>
      </w:r>
    </w:p>
    <w:p w14:paraId="01FAAC30" w14:textId="77777777" w:rsidR="00BA21F0" w:rsidRDefault="006B1B28" w:rsidP="00BA21F0">
      <w:pPr>
        <w:pStyle w:val="NApunkts1"/>
        <w:numPr>
          <w:ilvl w:val="0"/>
          <w:numId w:val="0"/>
        </w:numPr>
      </w:pPr>
      <w:bookmarkStart w:id="9" w:name="p213"/>
      <w:bookmarkStart w:id="10" w:name="p-1157466"/>
      <w:bookmarkEnd w:id="9"/>
      <w:bookmarkEnd w:id="10"/>
      <w:r>
        <w:t>Noteikumos iekļautas tiesību normas, kas izriet no:</w:t>
      </w:r>
    </w:p>
    <w:p w14:paraId="428D066C" w14:textId="2E40B213" w:rsidR="00A965AF" w:rsidRDefault="00A965AF" w:rsidP="00A80859">
      <w:pPr>
        <w:pStyle w:val="NApunkts1"/>
        <w:numPr>
          <w:ilvl w:val="0"/>
          <w:numId w:val="0"/>
        </w:numPr>
        <w:spacing w:before="0"/>
      </w:pPr>
      <w:r>
        <w:t>1) Eiropas Parlamenta un Padomes 2011.</w:t>
      </w:r>
      <w:r w:rsidR="009C1C02">
        <w:t> </w:t>
      </w:r>
      <w:r>
        <w:t>gada 8.</w:t>
      </w:r>
      <w:r w:rsidR="009C1C02">
        <w:t> </w:t>
      </w:r>
      <w:r>
        <w:t xml:space="preserve">jūnija </w:t>
      </w:r>
      <w:r w:rsidR="00BD4BDE">
        <w:t>d</w:t>
      </w:r>
      <w:r>
        <w:t>irektīvas</w:t>
      </w:r>
      <w:r w:rsidR="007E0302">
        <w:t> </w:t>
      </w:r>
      <w:r>
        <w:t xml:space="preserve">2011/61/ES par alternatīvo ieguldījumu fondu pārvaldniekiem un par grozījumiem </w:t>
      </w:r>
      <w:r w:rsidR="007E0302">
        <w:t>d</w:t>
      </w:r>
      <w:r>
        <w:t>irektīvā</w:t>
      </w:r>
      <w:r w:rsidR="007E0302">
        <w:t> </w:t>
      </w:r>
      <w:r>
        <w:t xml:space="preserve">2003/41/EK, </w:t>
      </w:r>
      <w:r w:rsidR="007E0302">
        <w:t>d</w:t>
      </w:r>
      <w:r>
        <w:t>irektīvā</w:t>
      </w:r>
      <w:r w:rsidR="007E0302">
        <w:t> </w:t>
      </w:r>
      <w:r>
        <w:t xml:space="preserve">2009/65/EK, </w:t>
      </w:r>
      <w:r w:rsidR="007E0302">
        <w:t>r</w:t>
      </w:r>
      <w:r>
        <w:t>egulā (EK) Nr.</w:t>
      </w:r>
      <w:r w:rsidR="007E0302">
        <w:t> </w:t>
      </w:r>
      <w:r>
        <w:t xml:space="preserve">1060/2009 un </w:t>
      </w:r>
      <w:r w:rsidR="007E0302">
        <w:t>r</w:t>
      </w:r>
      <w:r>
        <w:t>egulā (ES) Nr.</w:t>
      </w:r>
      <w:r w:rsidR="007E0302">
        <w:t> </w:t>
      </w:r>
      <w:r>
        <w:t>1095/2010;</w:t>
      </w:r>
    </w:p>
    <w:p w14:paraId="198D22EF" w14:textId="516DDF60" w:rsidR="00A965AF" w:rsidRDefault="00A965AF" w:rsidP="00A80859">
      <w:pPr>
        <w:pStyle w:val="NApunkts1"/>
        <w:numPr>
          <w:ilvl w:val="0"/>
          <w:numId w:val="0"/>
        </w:numPr>
        <w:spacing w:before="0"/>
      </w:pPr>
      <w:r>
        <w:t>2) Eiropas Parlamenta un Padomes 2014.</w:t>
      </w:r>
      <w:r w:rsidR="009C1C02">
        <w:t> </w:t>
      </w:r>
      <w:r>
        <w:t>gada 23.</w:t>
      </w:r>
      <w:r w:rsidR="009C1C02">
        <w:t> </w:t>
      </w:r>
      <w:r>
        <w:t xml:space="preserve">jūlija </w:t>
      </w:r>
      <w:r w:rsidR="00BD4BDE">
        <w:t>d</w:t>
      </w:r>
      <w:r>
        <w:t>irektīvas</w:t>
      </w:r>
      <w:r w:rsidR="007E0302">
        <w:t> </w:t>
      </w:r>
      <w:r>
        <w:t xml:space="preserve">2014/91/ES, ar ko groza </w:t>
      </w:r>
      <w:r w:rsidR="00BD4BDE">
        <w:t>d</w:t>
      </w:r>
      <w:r>
        <w:t>irektīvu</w:t>
      </w:r>
      <w:r w:rsidR="007E0302">
        <w:t> </w:t>
      </w:r>
      <w:r>
        <w:t>2009/65/EK par normatīvo un administratīvo aktu koordināciju attiecībā uz pārvedamu vērtspapīru kolektīvo ieguldījumu uzņēmumiem (PVKIU) attiecībā uz depozitārija funkcijām, atlīdzības politikas nostādnēm un sankcijām;</w:t>
      </w:r>
    </w:p>
    <w:p w14:paraId="6830AE16" w14:textId="54292218" w:rsidR="004004B9" w:rsidRDefault="00A965AF" w:rsidP="00A80859">
      <w:pPr>
        <w:pStyle w:val="NApunkts1"/>
        <w:numPr>
          <w:ilvl w:val="0"/>
          <w:numId w:val="0"/>
        </w:numPr>
        <w:spacing w:before="0"/>
      </w:pPr>
      <w:r>
        <w:lastRenderedPageBreak/>
        <w:t>3)</w:t>
      </w:r>
      <w:r w:rsidR="00191266" w:rsidRPr="00191266">
        <w:t xml:space="preserve"> </w:t>
      </w:r>
      <w:r w:rsidR="00191266">
        <w:t xml:space="preserve">Eiropas Vērtspapīru un tirgu iestādes </w:t>
      </w:r>
      <w:r w:rsidR="00191266" w:rsidRPr="0086390D">
        <w:t>2023.</w:t>
      </w:r>
      <w:r w:rsidR="007E0302">
        <w:t> </w:t>
      </w:r>
      <w:r w:rsidR="00191266" w:rsidRPr="0086390D">
        <w:t>gada 3.</w:t>
      </w:r>
      <w:r w:rsidR="007E0302">
        <w:t> </w:t>
      </w:r>
      <w:r w:rsidR="00191266" w:rsidRPr="0086390D">
        <w:t>aprīļa pamatnostādn</w:t>
      </w:r>
      <w:r w:rsidR="00191266">
        <w:t>ēm</w:t>
      </w:r>
      <w:r w:rsidR="00191266" w:rsidRPr="0086390D">
        <w:t xml:space="preserve"> </w:t>
      </w:r>
      <w:r w:rsidR="00191266">
        <w:t>ESMA35</w:t>
      </w:r>
      <w:r w:rsidR="007E0302">
        <w:noBreakHyphen/>
      </w:r>
      <w:r w:rsidR="00191266">
        <w:t>43</w:t>
      </w:r>
      <w:r w:rsidR="007E0302">
        <w:noBreakHyphen/>
      </w:r>
      <w:r w:rsidR="00191266">
        <w:t xml:space="preserve">3565 </w:t>
      </w:r>
      <w:r w:rsidR="00191266" w:rsidRPr="0086390D">
        <w:t xml:space="preserve">"Pamatnostādnes </w:t>
      </w:r>
      <w:r w:rsidR="00191266">
        <w:t>par noteiktiem FITD</w:t>
      </w:r>
      <w:r w:rsidR="00916D4A">
        <w:t> </w:t>
      </w:r>
      <w:r w:rsidR="00191266">
        <w:t>II atalgojuma prasību aspektiem</w:t>
      </w:r>
      <w:r w:rsidR="00191266" w:rsidRPr="0086390D">
        <w:t>"</w:t>
      </w:r>
      <w:r w:rsidR="004004B9">
        <w:t>;</w:t>
      </w:r>
    </w:p>
    <w:p w14:paraId="6E3E64F3" w14:textId="53C8BB56" w:rsidR="004004B9" w:rsidRDefault="004004B9" w:rsidP="00A80859">
      <w:pPr>
        <w:pStyle w:val="NApunkts1"/>
        <w:numPr>
          <w:ilvl w:val="0"/>
          <w:numId w:val="0"/>
        </w:numPr>
        <w:spacing w:before="0"/>
        <w:rPr>
          <w:color w:val="000000"/>
        </w:rPr>
      </w:pPr>
      <w:r>
        <w:t xml:space="preserve">4) </w:t>
      </w:r>
      <w:r w:rsidRPr="002F1A56">
        <w:rPr>
          <w:color w:val="000000"/>
        </w:rPr>
        <w:t>Eiropas Vērtspapīru un tirgu iestādes 2016.</w:t>
      </w:r>
      <w:r w:rsidR="009C1C02">
        <w:rPr>
          <w:color w:val="000000"/>
        </w:rPr>
        <w:t> </w:t>
      </w:r>
      <w:r w:rsidRPr="002F1A56">
        <w:rPr>
          <w:color w:val="000000"/>
        </w:rPr>
        <w:t>gada 14.</w:t>
      </w:r>
      <w:r w:rsidR="009C1C02">
        <w:rPr>
          <w:color w:val="000000"/>
        </w:rPr>
        <w:t> </w:t>
      </w:r>
      <w:r w:rsidRPr="002F1A56">
        <w:rPr>
          <w:color w:val="000000"/>
        </w:rPr>
        <w:t>oktobra pamatnostādn</w:t>
      </w:r>
      <w:r w:rsidR="007E0302">
        <w:rPr>
          <w:color w:val="000000"/>
        </w:rPr>
        <w:t>ēm</w:t>
      </w:r>
      <w:r w:rsidRPr="002F1A56">
        <w:rPr>
          <w:color w:val="000000"/>
        </w:rPr>
        <w:t xml:space="preserve"> Nr.</w:t>
      </w:r>
      <w:r w:rsidR="009C1C02">
        <w:rPr>
          <w:color w:val="000000"/>
        </w:rPr>
        <w:t> </w:t>
      </w:r>
      <w:r w:rsidRPr="002F1A56">
        <w:rPr>
          <w:color w:val="000000"/>
        </w:rPr>
        <w:t>ESMA/2016/575-LV "</w:t>
      </w:r>
      <w:r w:rsidRPr="004004B9">
        <w:t>Pamatnostādnes pārdomātai atalgojuma politikai saskaņā ar PVKIU direktīvas nosacījumiem</w:t>
      </w:r>
      <w:r w:rsidRPr="002F1A56">
        <w:rPr>
          <w:color w:val="000000"/>
        </w:rPr>
        <w:t>"</w:t>
      </w:r>
      <w:r>
        <w:rPr>
          <w:color w:val="000000"/>
        </w:rPr>
        <w:t>;</w:t>
      </w:r>
    </w:p>
    <w:p w14:paraId="36B42CE7" w14:textId="1D3FEA6D" w:rsidR="00A965AF" w:rsidRDefault="004004B9" w:rsidP="00A80859">
      <w:pPr>
        <w:pStyle w:val="NApunkts1"/>
        <w:numPr>
          <w:ilvl w:val="0"/>
          <w:numId w:val="0"/>
        </w:numPr>
        <w:spacing w:before="0"/>
        <w:rPr>
          <w:b/>
          <w:bCs/>
        </w:rPr>
      </w:pPr>
      <w:r>
        <w:rPr>
          <w:color w:val="000000"/>
        </w:rPr>
        <w:t xml:space="preserve">5) </w:t>
      </w:r>
      <w:r w:rsidRPr="00A93126">
        <w:rPr>
          <w:color w:val="000000"/>
        </w:rPr>
        <w:t>Eiropas Vērtspapīru un tirgu iestādes 2016.</w:t>
      </w:r>
      <w:r w:rsidR="009C1C02">
        <w:rPr>
          <w:color w:val="000000"/>
        </w:rPr>
        <w:t> </w:t>
      </w:r>
      <w:r w:rsidRPr="00A93126">
        <w:rPr>
          <w:color w:val="000000"/>
        </w:rPr>
        <w:t>gada 14.</w:t>
      </w:r>
      <w:r w:rsidR="009C1C02">
        <w:rPr>
          <w:color w:val="000000"/>
        </w:rPr>
        <w:t> </w:t>
      </w:r>
      <w:r w:rsidRPr="00A93126">
        <w:rPr>
          <w:color w:val="000000"/>
        </w:rPr>
        <w:t>oktobra pamatnostādn</w:t>
      </w:r>
      <w:r w:rsidR="007E0302">
        <w:rPr>
          <w:color w:val="000000"/>
        </w:rPr>
        <w:t>ēm</w:t>
      </w:r>
      <w:r w:rsidRPr="00A93126">
        <w:rPr>
          <w:color w:val="000000"/>
        </w:rPr>
        <w:t xml:space="preserve"> Nr.</w:t>
      </w:r>
      <w:r w:rsidR="009C1C02">
        <w:rPr>
          <w:color w:val="000000"/>
        </w:rPr>
        <w:t> </w:t>
      </w:r>
      <w:r w:rsidRPr="00A93126">
        <w:rPr>
          <w:color w:val="000000"/>
        </w:rPr>
        <w:t>ESMA/2016/579-LV "</w:t>
      </w:r>
      <w:r w:rsidRPr="004004B9">
        <w:t>Pamatnostādnes saprātīgai atalgojuma politikai saskaņā ar AIFPD</w:t>
      </w:r>
      <w:r w:rsidRPr="00A93126">
        <w:rPr>
          <w:color w:val="000000"/>
        </w:rPr>
        <w:t>"</w:t>
      </w:r>
      <w:r>
        <w:rPr>
          <w:color w:val="000000"/>
        </w:rPr>
        <w:t>.</w:t>
      </w:r>
    </w:p>
    <w:p w14:paraId="033D53B4" w14:textId="73664D66" w:rsidR="00FA055C" w:rsidRDefault="009C7FF1" w:rsidP="00A80859">
      <w:pPr>
        <w:pStyle w:val="NApunkts1"/>
        <w:numPr>
          <w:ilvl w:val="0"/>
          <w:numId w:val="0"/>
        </w:numPr>
        <w:spacing w:before="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C02908C" w14:textId="77777777" w:rsidTr="00811BE5">
        <w:tc>
          <w:tcPr>
            <w:tcW w:w="4928" w:type="dxa"/>
            <w:vAlign w:val="bottom"/>
          </w:tcPr>
          <w:p w14:paraId="62C0D9C9" w14:textId="5E3EE553" w:rsidR="00966987" w:rsidRDefault="00911D29" w:rsidP="00A80859">
            <w:pPr>
              <w:pStyle w:val="NoSpacing"/>
              <w:spacing w:before="480"/>
              <w:ind w:left="-108"/>
              <w:rPr>
                <w:rFonts w:cs="Times New Roman"/>
              </w:rPr>
            </w:pPr>
            <w:sdt>
              <w:sdtPr>
                <w:alias w:val="Amats"/>
                <w:tag w:val="Amats"/>
                <w:id w:val="45201534"/>
                <w:lock w:val="sdtLocked"/>
                <w:placeholder>
                  <w:docPart w:val="30E70B1A0BFF41B496E24FEF178FE2C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84697">
                  <w:t xml:space="preserve">Latvijas Bankas prezidents </w:t>
                </w:r>
              </w:sdtContent>
            </w:sdt>
          </w:p>
        </w:tc>
        <w:sdt>
          <w:sdtPr>
            <w:rPr>
              <w:rFonts w:cs="Times New Roman"/>
            </w:rPr>
            <w:alias w:val="V. Uzvārds"/>
            <w:tag w:val="V. Uzvārds"/>
            <w:id w:val="46411162"/>
            <w:lock w:val="sdtLocked"/>
            <w:placeholder>
              <w:docPart w:val="97F5716F2F874A57A01D1121724359ED"/>
            </w:placeholder>
          </w:sdtPr>
          <w:sdtEndPr/>
          <w:sdtContent>
            <w:tc>
              <w:tcPr>
                <w:tcW w:w="3792" w:type="dxa"/>
                <w:vAlign w:val="bottom"/>
              </w:tcPr>
              <w:p w14:paraId="1B6FD31C" w14:textId="1BD08653" w:rsidR="00966987" w:rsidRDefault="00C55FE6" w:rsidP="00C523D5">
                <w:pPr>
                  <w:pStyle w:val="NoSpacing"/>
                  <w:ind w:right="-111"/>
                  <w:jc w:val="right"/>
                  <w:rPr>
                    <w:rFonts w:cs="Times New Roman"/>
                  </w:rPr>
                </w:pPr>
                <w:r>
                  <w:rPr>
                    <w:rFonts w:cs="Times New Roman"/>
                  </w:rPr>
                  <w:t>M.</w:t>
                </w:r>
                <w:r w:rsidR="007E0302">
                  <w:rPr>
                    <w:rFonts w:cs="Times New Roman"/>
                  </w:rPr>
                  <w:t> </w:t>
                </w:r>
                <w:r>
                  <w:rPr>
                    <w:rFonts w:cs="Times New Roman"/>
                  </w:rPr>
                  <w:t>Kazāks</w:t>
                </w:r>
              </w:p>
            </w:tc>
          </w:sdtContent>
        </w:sdt>
      </w:tr>
    </w:tbl>
    <w:p w14:paraId="59D30B86" w14:textId="0D08FF0F" w:rsidR="006D395C" w:rsidRDefault="006D395C" w:rsidP="0010644D">
      <w:pPr>
        <w:rPr>
          <w:rFonts w:cs="Times New Roman"/>
          <w:szCs w:val="24"/>
        </w:rPr>
      </w:pPr>
    </w:p>
    <w:sectPr w:rsidR="006D395C" w:rsidSect="00EA6CA5">
      <w:headerReference w:type="default" r:id="rId30"/>
      <w:footerReference w:type="default" r:id="rId31"/>
      <w:headerReference w:type="first" r:id="rId3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915BC" w14:textId="77777777" w:rsidR="002C4053" w:rsidRDefault="002C4053" w:rsidP="00AC4B00">
      <w:r>
        <w:separator/>
      </w:r>
    </w:p>
  </w:endnote>
  <w:endnote w:type="continuationSeparator" w:id="0">
    <w:p w14:paraId="59E7C9D0" w14:textId="77777777" w:rsidR="002C4053" w:rsidRDefault="002C4053" w:rsidP="00AC4B00">
      <w:r>
        <w:continuationSeparator/>
      </w:r>
    </w:p>
  </w:endnote>
  <w:endnote w:type="continuationNotice" w:id="1">
    <w:p w14:paraId="6E2CFCF1" w14:textId="77777777" w:rsidR="00684697" w:rsidRDefault="00684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CB82" w14:textId="77777777" w:rsidR="00684697" w:rsidRDefault="0068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6D120" w14:textId="77777777" w:rsidR="002C4053" w:rsidRDefault="002C4053" w:rsidP="00AC4B00">
      <w:r>
        <w:separator/>
      </w:r>
    </w:p>
  </w:footnote>
  <w:footnote w:type="continuationSeparator" w:id="0">
    <w:p w14:paraId="1872C5C4" w14:textId="77777777" w:rsidR="002C4053" w:rsidRDefault="002C4053" w:rsidP="00AC4B00">
      <w:r>
        <w:continuationSeparator/>
      </w:r>
    </w:p>
  </w:footnote>
  <w:footnote w:type="continuationNotice" w:id="1">
    <w:p w14:paraId="74ADB2D8" w14:textId="77777777" w:rsidR="00684697" w:rsidRDefault="00684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3675E7E"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D90FE" w14:textId="77777777" w:rsidR="009C42A8" w:rsidRPr="009C42A8" w:rsidRDefault="00EA6CA5" w:rsidP="00AA4809">
    <w:pPr>
      <w:pStyle w:val="Header"/>
      <w:spacing w:before="560"/>
      <w:jc w:val="center"/>
    </w:pPr>
    <w:r>
      <w:rPr>
        <w:noProof/>
      </w:rPr>
      <w:drawing>
        <wp:inline distT="0" distB="0" distL="0" distR="0" wp14:anchorId="7106E7D4" wp14:editId="30F8ADBF">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F2E4A6F" wp14:editId="3DEA5A31">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B6F42"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1D46A8C"/>
    <w:multiLevelType w:val="hybridMultilevel"/>
    <w:tmpl w:val="7812BD40"/>
    <w:lvl w:ilvl="0" w:tplc="BF5A84F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71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DA5D8C"/>
    <w:multiLevelType w:val="multilevel"/>
    <w:tmpl w:val="6878584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7E5024AA"/>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b w:val="0"/>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3"/>
  </w:num>
  <w:num w:numId="2" w16cid:durableId="765492621">
    <w:abstractNumId w:val="4"/>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898514098">
    <w:abstractNumId w:val="2"/>
  </w:num>
  <w:num w:numId="9" w16cid:durableId="1992098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053"/>
    <w:rsid w:val="00001229"/>
    <w:rsid w:val="00003926"/>
    <w:rsid w:val="000120CB"/>
    <w:rsid w:val="000132AC"/>
    <w:rsid w:val="00017BDD"/>
    <w:rsid w:val="00017C12"/>
    <w:rsid w:val="000239BA"/>
    <w:rsid w:val="000307DB"/>
    <w:rsid w:val="00032F04"/>
    <w:rsid w:val="0005032E"/>
    <w:rsid w:val="00050FC7"/>
    <w:rsid w:val="000571A8"/>
    <w:rsid w:val="00057385"/>
    <w:rsid w:val="00060D2F"/>
    <w:rsid w:val="000704A5"/>
    <w:rsid w:val="00081D7E"/>
    <w:rsid w:val="00085D62"/>
    <w:rsid w:val="00096928"/>
    <w:rsid w:val="000973A6"/>
    <w:rsid w:val="000B3673"/>
    <w:rsid w:val="000B3677"/>
    <w:rsid w:val="000B41DB"/>
    <w:rsid w:val="000D18A5"/>
    <w:rsid w:val="000D5637"/>
    <w:rsid w:val="000D67AD"/>
    <w:rsid w:val="000E4379"/>
    <w:rsid w:val="000F000D"/>
    <w:rsid w:val="000F52A7"/>
    <w:rsid w:val="000F53F4"/>
    <w:rsid w:val="000F6066"/>
    <w:rsid w:val="0010111F"/>
    <w:rsid w:val="001026BB"/>
    <w:rsid w:val="0010527D"/>
    <w:rsid w:val="0010644D"/>
    <w:rsid w:val="0011119D"/>
    <w:rsid w:val="00112255"/>
    <w:rsid w:val="00112A88"/>
    <w:rsid w:val="001226EB"/>
    <w:rsid w:val="00123001"/>
    <w:rsid w:val="00127D88"/>
    <w:rsid w:val="001306DB"/>
    <w:rsid w:val="00142533"/>
    <w:rsid w:val="00145D4F"/>
    <w:rsid w:val="00151E1B"/>
    <w:rsid w:val="001525AC"/>
    <w:rsid w:val="0015325E"/>
    <w:rsid w:val="00166DCA"/>
    <w:rsid w:val="00171880"/>
    <w:rsid w:val="001729C8"/>
    <w:rsid w:val="00174E73"/>
    <w:rsid w:val="001758F5"/>
    <w:rsid w:val="00177BCC"/>
    <w:rsid w:val="00182D3E"/>
    <w:rsid w:val="00191266"/>
    <w:rsid w:val="0019595C"/>
    <w:rsid w:val="001C06E6"/>
    <w:rsid w:val="001C33D8"/>
    <w:rsid w:val="001D5DFF"/>
    <w:rsid w:val="001D7766"/>
    <w:rsid w:val="001E1378"/>
    <w:rsid w:val="001E4A06"/>
    <w:rsid w:val="001F51BD"/>
    <w:rsid w:val="002016F8"/>
    <w:rsid w:val="00215938"/>
    <w:rsid w:val="00216AAD"/>
    <w:rsid w:val="002220E9"/>
    <w:rsid w:val="0022529D"/>
    <w:rsid w:val="00226B45"/>
    <w:rsid w:val="00232966"/>
    <w:rsid w:val="0023463E"/>
    <w:rsid w:val="00243017"/>
    <w:rsid w:val="00244713"/>
    <w:rsid w:val="002528E9"/>
    <w:rsid w:val="002539C2"/>
    <w:rsid w:val="0025403C"/>
    <w:rsid w:val="002573A6"/>
    <w:rsid w:val="00266408"/>
    <w:rsid w:val="0026765A"/>
    <w:rsid w:val="00271920"/>
    <w:rsid w:val="002728B2"/>
    <w:rsid w:val="002765D8"/>
    <w:rsid w:val="0027781D"/>
    <w:rsid w:val="0028232F"/>
    <w:rsid w:val="00286E6B"/>
    <w:rsid w:val="00291565"/>
    <w:rsid w:val="00292F12"/>
    <w:rsid w:val="00294F01"/>
    <w:rsid w:val="002A617A"/>
    <w:rsid w:val="002A7B8B"/>
    <w:rsid w:val="002B37F0"/>
    <w:rsid w:val="002B782B"/>
    <w:rsid w:val="002C08EB"/>
    <w:rsid w:val="002C15BE"/>
    <w:rsid w:val="002C4053"/>
    <w:rsid w:val="002C6FD2"/>
    <w:rsid w:val="002C772C"/>
    <w:rsid w:val="002D2A1C"/>
    <w:rsid w:val="002D4891"/>
    <w:rsid w:val="002F1A56"/>
    <w:rsid w:val="002F25F0"/>
    <w:rsid w:val="002F2A54"/>
    <w:rsid w:val="002F34F9"/>
    <w:rsid w:val="002F6068"/>
    <w:rsid w:val="002F7845"/>
    <w:rsid w:val="00301089"/>
    <w:rsid w:val="00330899"/>
    <w:rsid w:val="00333D26"/>
    <w:rsid w:val="00334BEC"/>
    <w:rsid w:val="003473BD"/>
    <w:rsid w:val="00351708"/>
    <w:rsid w:val="00365CD6"/>
    <w:rsid w:val="00366379"/>
    <w:rsid w:val="00373960"/>
    <w:rsid w:val="00373AEA"/>
    <w:rsid w:val="00377C7C"/>
    <w:rsid w:val="003842A9"/>
    <w:rsid w:val="00385699"/>
    <w:rsid w:val="003A24AC"/>
    <w:rsid w:val="003B111D"/>
    <w:rsid w:val="003B122C"/>
    <w:rsid w:val="003B1292"/>
    <w:rsid w:val="003B6466"/>
    <w:rsid w:val="003C1EF2"/>
    <w:rsid w:val="003C7FEA"/>
    <w:rsid w:val="003D648B"/>
    <w:rsid w:val="003E088C"/>
    <w:rsid w:val="003E0FBE"/>
    <w:rsid w:val="003E3B26"/>
    <w:rsid w:val="003E46F5"/>
    <w:rsid w:val="003E47EE"/>
    <w:rsid w:val="004004B9"/>
    <w:rsid w:val="00402B09"/>
    <w:rsid w:val="00403FF6"/>
    <w:rsid w:val="0040571D"/>
    <w:rsid w:val="00405DF6"/>
    <w:rsid w:val="004107A1"/>
    <w:rsid w:val="00412168"/>
    <w:rsid w:val="00417785"/>
    <w:rsid w:val="004239C6"/>
    <w:rsid w:val="00423EA4"/>
    <w:rsid w:val="00424A13"/>
    <w:rsid w:val="0042545F"/>
    <w:rsid w:val="00440CAF"/>
    <w:rsid w:val="00453701"/>
    <w:rsid w:val="00463E5D"/>
    <w:rsid w:val="00470B6A"/>
    <w:rsid w:val="0048397F"/>
    <w:rsid w:val="00484142"/>
    <w:rsid w:val="004845E6"/>
    <w:rsid w:val="00484A21"/>
    <w:rsid w:val="00485E87"/>
    <w:rsid w:val="00486C4D"/>
    <w:rsid w:val="0049232C"/>
    <w:rsid w:val="004924D5"/>
    <w:rsid w:val="0049330F"/>
    <w:rsid w:val="00497A72"/>
    <w:rsid w:val="004A63EE"/>
    <w:rsid w:val="004B04B3"/>
    <w:rsid w:val="004B092F"/>
    <w:rsid w:val="004C6CAA"/>
    <w:rsid w:val="004D3CDD"/>
    <w:rsid w:val="004D4D52"/>
    <w:rsid w:val="004D5864"/>
    <w:rsid w:val="004E303D"/>
    <w:rsid w:val="004E3633"/>
    <w:rsid w:val="004E6DF9"/>
    <w:rsid w:val="004F6D30"/>
    <w:rsid w:val="005050B4"/>
    <w:rsid w:val="00505542"/>
    <w:rsid w:val="0051668E"/>
    <w:rsid w:val="005271DC"/>
    <w:rsid w:val="0053504D"/>
    <w:rsid w:val="005355C8"/>
    <w:rsid w:val="00535B61"/>
    <w:rsid w:val="00536906"/>
    <w:rsid w:val="00553206"/>
    <w:rsid w:val="00572791"/>
    <w:rsid w:val="005778F7"/>
    <w:rsid w:val="00582432"/>
    <w:rsid w:val="0058712F"/>
    <w:rsid w:val="0059151D"/>
    <w:rsid w:val="005928A6"/>
    <w:rsid w:val="005A22DF"/>
    <w:rsid w:val="005A78C2"/>
    <w:rsid w:val="005B116D"/>
    <w:rsid w:val="005B1AEE"/>
    <w:rsid w:val="005C043A"/>
    <w:rsid w:val="005C43B0"/>
    <w:rsid w:val="005C4F9F"/>
    <w:rsid w:val="005C7503"/>
    <w:rsid w:val="005D2F2A"/>
    <w:rsid w:val="005E52CC"/>
    <w:rsid w:val="005E582F"/>
    <w:rsid w:val="005F0D3E"/>
    <w:rsid w:val="005F62A8"/>
    <w:rsid w:val="005F65BC"/>
    <w:rsid w:val="00611B67"/>
    <w:rsid w:val="00621950"/>
    <w:rsid w:val="00626D42"/>
    <w:rsid w:val="00631EF9"/>
    <w:rsid w:val="00671C3D"/>
    <w:rsid w:val="00684697"/>
    <w:rsid w:val="00697C35"/>
    <w:rsid w:val="006A70E0"/>
    <w:rsid w:val="006B1B28"/>
    <w:rsid w:val="006D395C"/>
    <w:rsid w:val="006D5B43"/>
    <w:rsid w:val="006E5360"/>
    <w:rsid w:val="006E6DD0"/>
    <w:rsid w:val="006F0B91"/>
    <w:rsid w:val="006F5854"/>
    <w:rsid w:val="00702B42"/>
    <w:rsid w:val="00702E6D"/>
    <w:rsid w:val="0070458A"/>
    <w:rsid w:val="00704600"/>
    <w:rsid w:val="00721271"/>
    <w:rsid w:val="0073151E"/>
    <w:rsid w:val="00733D91"/>
    <w:rsid w:val="00746FE1"/>
    <w:rsid w:val="00754B84"/>
    <w:rsid w:val="007577AE"/>
    <w:rsid w:val="007616A1"/>
    <w:rsid w:val="00771CB0"/>
    <w:rsid w:val="00773A19"/>
    <w:rsid w:val="0077573E"/>
    <w:rsid w:val="00777306"/>
    <w:rsid w:val="00784DCB"/>
    <w:rsid w:val="0079205D"/>
    <w:rsid w:val="00792618"/>
    <w:rsid w:val="007A05A7"/>
    <w:rsid w:val="007A4159"/>
    <w:rsid w:val="007A528E"/>
    <w:rsid w:val="007D3588"/>
    <w:rsid w:val="007E0302"/>
    <w:rsid w:val="007F2179"/>
    <w:rsid w:val="007F4A16"/>
    <w:rsid w:val="007F51AD"/>
    <w:rsid w:val="007F6540"/>
    <w:rsid w:val="00803C74"/>
    <w:rsid w:val="00803E96"/>
    <w:rsid w:val="00811BE5"/>
    <w:rsid w:val="008132C3"/>
    <w:rsid w:val="0081429E"/>
    <w:rsid w:val="00817B55"/>
    <w:rsid w:val="0082217C"/>
    <w:rsid w:val="0083221C"/>
    <w:rsid w:val="00834230"/>
    <w:rsid w:val="00840034"/>
    <w:rsid w:val="00843053"/>
    <w:rsid w:val="0084631E"/>
    <w:rsid w:val="008468FD"/>
    <w:rsid w:val="008526FC"/>
    <w:rsid w:val="008548A6"/>
    <w:rsid w:val="008575CE"/>
    <w:rsid w:val="0086390D"/>
    <w:rsid w:val="00863BAC"/>
    <w:rsid w:val="0086737E"/>
    <w:rsid w:val="008738FB"/>
    <w:rsid w:val="0087509E"/>
    <w:rsid w:val="00876AB3"/>
    <w:rsid w:val="008A5223"/>
    <w:rsid w:val="008A529A"/>
    <w:rsid w:val="008B19DA"/>
    <w:rsid w:val="008D1286"/>
    <w:rsid w:val="008D1322"/>
    <w:rsid w:val="008E3963"/>
    <w:rsid w:val="008F3272"/>
    <w:rsid w:val="008F6F08"/>
    <w:rsid w:val="00910F60"/>
    <w:rsid w:val="00911D29"/>
    <w:rsid w:val="00912741"/>
    <w:rsid w:val="00913A4E"/>
    <w:rsid w:val="00914C6C"/>
    <w:rsid w:val="00914E2B"/>
    <w:rsid w:val="00916D4A"/>
    <w:rsid w:val="009208C8"/>
    <w:rsid w:val="00926D2C"/>
    <w:rsid w:val="00932794"/>
    <w:rsid w:val="00934ACC"/>
    <w:rsid w:val="00937AA2"/>
    <w:rsid w:val="009400BA"/>
    <w:rsid w:val="00944EE2"/>
    <w:rsid w:val="00946668"/>
    <w:rsid w:val="0094741B"/>
    <w:rsid w:val="0095036C"/>
    <w:rsid w:val="00952FEC"/>
    <w:rsid w:val="00955E6A"/>
    <w:rsid w:val="0095676D"/>
    <w:rsid w:val="00960648"/>
    <w:rsid w:val="00962F4A"/>
    <w:rsid w:val="00966987"/>
    <w:rsid w:val="00966FB8"/>
    <w:rsid w:val="00985755"/>
    <w:rsid w:val="00990571"/>
    <w:rsid w:val="00991355"/>
    <w:rsid w:val="00991D6F"/>
    <w:rsid w:val="0099410B"/>
    <w:rsid w:val="009A43CE"/>
    <w:rsid w:val="009A5519"/>
    <w:rsid w:val="009A6565"/>
    <w:rsid w:val="009B042A"/>
    <w:rsid w:val="009B3699"/>
    <w:rsid w:val="009B7B30"/>
    <w:rsid w:val="009C1C02"/>
    <w:rsid w:val="009C42A8"/>
    <w:rsid w:val="009C7FF1"/>
    <w:rsid w:val="009D19D8"/>
    <w:rsid w:val="009D757B"/>
    <w:rsid w:val="009E0DC1"/>
    <w:rsid w:val="009E379E"/>
    <w:rsid w:val="009F2C75"/>
    <w:rsid w:val="00A21786"/>
    <w:rsid w:val="00A24CF1"/>
    <w:rsid w:val="00A33BE0"/>
    <w:rsid w:val="00A35387"/>
    <w:rsid w:val="00A40A9E"/>
    <w:rsid w:val="00A42B30"/>
    <w:rsid w:val="00A457E8"/>
    <w:rsid w:val="00A45CCD"/>
    <w:rsid w:val="00A56918"/>
    <w:rsid w:val="00A57663"/>
    <w:rsid w:val="00A64981"/>
    <w:rsid w:val="00A72A98"/>
    <w:rsid w:val="00A80859"/>
    <w:rsid w:val="00A8178F"/>
    <w:rsid w:val="00A93126"/>
    <w:rsid w:val="00A965AF"/>
    <w:rsid w:val="00AA1C50"/>
    <w:rsid w:val="00AA4809"/>
    <w:rsid w:val="00AA5DCB"/>
    <w:rsid w:val="00AB0BEE"/>
    <w:rsid w:val="00AC4B00"/>
    <w:rsid w:val="00AD20CF"/>
    <w:rsid w:val="00AD65E6"/>
    <w:rsid w:val="00AD6CAD"/>
    <w:rsid w:val="00AE164F"/>
    <w:rsid w:val="00AF06D9"/>
    <w:rsid w:val="00AF236D"/>
    <w:rsid w:val="00B16A43"/>
    <w:rsid w:val="00B22E69"/>
    <w:rsid w:val="00B2652E"/>
    <w:rsid w:val="00B31CE7"/>
    <w:rsid w:val="00B329D4"/>
    <w:rsid w:val="00B400EE"/>
    <w:rsid w:val="00B4076F"/>
    <w:rsid w:val="00B42744"/>
    <w:rsid w:val="00B448E0"/>
    <w:rsid w:val="00B52561"/>
    <w:rsid w:val="00B54F3C"/>
    <w:rsid w:val="00B62B07"/>
    <w:rsid w:val="00B83801"/>
    <w:rsid w:val="00B85E98"/>
    <w:rsid w:val="00B91E53"/>
    <w:rsid w:val="00B952EF"/>
    <w:rsid w:val="00BA21F0"/>
    <w:rsid w:val="00BB311D"/>
    <w:rsid w:val="00BB3138"/>
    <w:rsid w:val="00BB3763"/>
    <w:rsid w:val="00BD0D4D"/>
    <w:rsid w:val="00BD4BDE"/>
    <w:rsid w:val="00BE66FC"/>
    <w:rsid w:val="00BF0E8D"/>
    <w:rsid w:val="00BF41BD"/>
    <w:rsid w:val="00BF4511"/>
    <w:rsid w:val="00BF75A6"/>
    <w:rsid w:val="00C02FBE"/>
    <w:rsid w:val="00C1072C"/>
    <w:rsid w:val="00C10C67"/>
    <w:rsid w:val="00C13664"/>
    <w:rsid w:val="00C2284A"/>
    <w:rsid w:val="00C23D14"/>
    <w:rsid w:val="00C2660C"/>
    <w:rsid w:val="00C35C43"/>
    <w:rsid w:val="00C378F8"/>
    <w:rsid w:val="00C4012E"/>
    <w:rsid w:val="00C443AC"/>
    <w:rsid w:val="00C46F2A"/>
    <w:rsid w:val="00C523D5"/>
    <w:rsid w:val="00C54D54"/>
    <w:rsid w:val="00C5530F"/>
    <w:rsid w:val="00C55FE6"/>
    <w:rsid w:val="00C603F7"/>
    <w:rsid w:val="00C66E83"/>
    <w:rsid w:val="00C73633"/>
    <w:rsid w:val="00C836EF"/>
    <w:rsid w:val="00C902AC"/>
    <w:rsid w:val="00CA78AB"/>
    <w:rsid w:val="00CB1F20"/>
    <w:rsid w:val="00CB559F"/>
    <w:rsid w:val="00CC18A1"/>
    <w:rsid w:val="00CC367A"/>
    <w:rsid w:val="00CC5D49"/>
    <w:rsid w:val="00CD3BD9"/>
    <w:rsid w:val="00CE4A53"/>
    <w:rsid w:val="00CE796C"/>
    <w:rsid w:val="00CF43D0"/>
    <w:rsid w:val="00CF6323"/>
    <w:rsid w:val="00CF7AE3"/>
    <w:rsid w:val="00D02919"/>
    <w:rsid w:val="00D07390"/>
    <w:rsid w:val="00D1410C"/>
    <w:rsid w:val="00D16A99"/>
    <w:rsid w:val="00D22D31"/>
    <w:rsid w:val="00D26119"/>
    <w:rsid w:val="00D34E26"/>
    <w:rsid w:val="00D4242A"/>
    <w:rsid w:val="00D5791F"/>
    <w:rsid w:val="00D61034"/>
    <w:rsid w:val="00D734E9"/>
    <w:rsid w:val="00D75C97"/>
    <w:rsid w:val="00DA55AD"/>
    <w:rsid w:val="00DB385B"/>
    <w:rsid w:val="00DB5280"/>
    <w:rsid w:val="00DB66D4"/>
    <w:rsid w:val="00DB784C"/>
    <w:rsid w:val="00DD3C90"/>
    <w:rsid w:val="00DE1F09"/>
    <w:rsid w:val="00DE3861"/>
    <w:rsid w:val="00DE5516"/>
    <w:rsid w:val="00DE671B"/>
    <w:rsid w:val="00E13AEE"/>
    <w:rsid w:val="00E3140C"/>
    <w:rsid w:val="00E35125"/>
    <w:rsid w:val="00E36793"/>
    <w:rsid w:val="00E3696A"/>
    <w:rsid w:val="00E67BA0"/>
    <w:rsid w:val="00E70723"/>
    <w:rsid w:val="00E76F9E"/>
    <w:rsid w:val="00E818D0"/>
    <w:rsid w:val="00E96E74"/>
    <w:rsid w:val="00EA6CA5"/>
    <w:rsid w:val="00EB79EC"/>
    <w:rsid w:val="00EC1D6E"/>
    <w:rsid w:val="00EC5ADE"/>
    <w:rsid w:val="00ED0647"/>
    <w:rsid w:val="00ED3464"/>
    <w:rsid w:val="00ED412A"/>
    <w:rsid w:val="00ED77C1"/>
    <w:rsid w:val="00EF6956"/>
    <w:rsid w:val="00F00156"/>
    <w:rsid w:val="00F018B2"/>
    <w:rsid w:val="00F10222"/>
    <w:rsid w:val="00F1192F"/>
    <w:rsid w:val="00F13AEE"/>
    <w:rsid w:val="00F13DD7"/>
    <w:rsid w:val="00F141E9"/>
    <w:rsid w:val="00F15155"/>
    <w:rsid w:val="00F15FC7"/>
    <w:rsid w:val="00F306D8"/>
    <w:rsid w:val="00F30773"/>
    <w:rsid w:val="00F30F87"/>
    <w:rsid w:val="00F3140E"/>
    <w:rsid w:val="00F3441F"/>
    <w:rsid w:val="00F51202"/>
    <w:rsid w:val="00F55D19"/>
    <w:rsid w:val="00F5647B"/>
    <w:rsid w:val="00F604A8"/>
    <w:rsid w:val="00F639B6"/>
    <w:rsid w:val="00F75A2C"/>
    <w:rsid w:val="00F8030A"/>
    <w:rsid w:val="00F81856"/>
    <w:rsid w:val="00F84CD0"/>
    <w:rsid w:val="00F8643C"/>
    <w:rsid w:val="00F91ECF"/>
    <w:rsid w:val="00FA055C"/>
    <w:rsid w:val="00FA32EC"/>
    <w:rsid w:val="00FA346E"/>
    <w:rsid w:val="00FA5F92"/>
    <w:rsid w:val="00FA7AE0"/>
    <w:rsid w:val="00FB1572"/>
    <w:rsid w:val="00FB3BA1"/>
    <w:rsid w:val="00FB44CA"/>
    <w:rsid w:val="00FD0C6A"/>
    <w:rsid w:val="00FD37FA"/>
    <w:rsid w:val="00FE5435"/>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F91A5"/>
  <w15:docId w15:val="{16BACD0E-38CE-4D30-B153-604D16BC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BC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7E0302"/>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02E6D"/>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C7FEA"/>
    <w:rPr>
      <w:sz w:val="16"/>
      <w:szCs w:val="16"/>
    </w:rPr>
  </w:style>
  <w:style w:type="paragraph" w:styleId="CommentText">
    <w:name w:val="annotation text"/>
    <w:basedOn w:val="Normal"/>
    <w:link w:val="CommentTextChar"/>
    <w:uiPriority w:val="99"/>
    <w:unhideWhenUsed/>
    <w:rsid w:val="003C7FEA"/>
    <w:rPr>
      <w:sz w:val="20"/>
      <w:szCs w:val="20"/>
    </w:rPr>
  </w:style>
  <w:style w:type="character" w:customStyle="1" w:styleId="CommentTextChar">
    <w:name w:val="Comment Text Char"/>
    <w:basedOn w:val="DefaultParagraphFont"/>
    <w:link w:val="CommentText"/>
    <w:uiPriority w:val="99"/>
    <w:rsid w:val="003C7FE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C7FEA"/>
    <w:rPr>
      <w:b/>
      <w:bCs/>
    </w:rPr>
  </w:style>
  <w:style w:type="character" w:customStyle="1" w:styleId="CommentSubjectChar">
    <w:name w:val="Comment Subject Char"/>
    <w:basedOn w:val="CommentTextChar"/>
    <w:link w:val="CommentSubject"/>
    <w:uiPriority w:val="99"/>
    <w:semiHidden/>
    <w:rsid w:val="003C7FEA"/>
    <w:rPr>
      <w:rFonts w:ascii="Times New Roman" w:hAnsi="Times New Roman"/>
      <w:b/>
      <w:bCs/>
      <w:sz w:val="20"/>
      <w:szCs w:val="20"/>
    </w:rPr>
  </w:style>
  <w:style w:type="character" w:styleId="Hyperlink">
    <w:name w:val="Hyperlink"/>
    <w:basedOn w:val="DefaultParagraphFont"/>
    <w:uiPriority w:val="99"/>
    <w:unhideWhenUsed/>
    <w:rsid w:val="005050B4"/>
    <w:rPr>
      <w:color w:val="0000FF" w:themeColor="hyperlink"/>
      <w:u w:val="single"/>
    </w:rPr>
  </w:style>
  <w:style w:type="character" w:styleId="UnresolvedMention">
    <w:name w:val="Unresolved Mention"/>
    <w:basedOn w:val="DefaultParagraphFont"/>
    <w:uiPriority w:val="99"/>
    <w:semiHidden/>
    <w:unhideWhenUsed/>
    <w:rsid w:val="005050B4"/>
    <w:rPr>
      <w:color w:val="605E5C"/>
      <w:shd w:val="clear" w:color="auto" w:fill="E1DFDD"/>
    </w:rPr>
  </w:style>
  <w:style w:type="paragraph" w:customStyle="1" w:styleId="tv213">
    <w:name w:val="tv213"/>
    <w:basedOn w:val="Normal"/>
    <w:rsid w:val="0005032E"/>
    <w:pPr>
      <w:spacing w:before="100" w:beforeAutospacing="1" w:after="100" w:afterAutospacing="1"/>
    </w:pPr>
    <w:rPr>
      <w:rFonts w:eastAsia="Times New Roman" w:cs="Times New Roman"/>
      <w:szCs w:val="24"/>
    </w:rPr>
  </w:style>
  <w:style w:type="paragraph" w:styleId="Revision">
    <w:name w:val="Revision"/>
    <w:hidden/>
    <w:uiPriority w:val="99"/>
    <w:semiHidden/>
    <w:rsid w:val="0087509E"/>
    <w:pPr>
      <w:spacing w:after="0" w:line="240" w:lineRule="auto"/>
    </w:pPr>
    <w:rPr>
      <w:rFonts w:ascii="Times New Roman" w:hAnsi="Times New Roman"/>
      <w:sz w:val="24"/>
    </w:rPr>
  </w:style>
  <w:style w:type="paragraph" w:customStyle="1" w:styleId="labojumupamats">
    <w:name w:val="labojumu_pamats"/>
    <w:basedOn w:val="Normal"/>
    <w:rsid w:val="006B1B28"/>
    <w:pPr>
      <w:spacing w:before="100" w:beforeAutospacing="1" w:after="100" w:afterAutospacing="1"/>
    </w:pPr>
    <w:rPr>
      <w:rFonts w:eastAsia="Times New Roman" w:cs="Times New Roman"/>
      <w:szCs w:val="24"/>
    </w:rPr>
  </w:style>
  <w:style w:type="character" w:customStyle="1" w:styleId="fontsize2">
    <w:name w:val="fontsize2"/>
    <w:basedOn w:val="DefaultParagraphFont"/>
    <w:rsid w:val="006B1B28"/>
  </w:style>
  <w:style w:type="character" w:customStyle="1" w:styleId="cf01">
    <w:name w:val="cf01"/>
    <w:basedOn w:val="DefaultParagraphFont"/>
    <w:rsid w:val="00177BCC"/>
    <w:rPr>
      <w:rFonts w:ascii="Segoe UI" w:hAnsi="Segoe UI" w:cs="Segoe UI" w:hint="default"/>
      <w:color w:val="414142"/>
      <w:sz w:val="18"/>
      <w:szCs w:val="18"/>
      <w:shd w:val="clear" w:color="auto" w:fill="FFFFFF"/>
    </w:rPr>
  </w:style>
  <w:style w:type="character" w:customStyle="1" w:styleId="cf11">
    <w:name w:val="cf11"/>
    <w:basedOn w:val="DefaultParagraphFont"/>
    <w:rsid w:val="00177B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77">
      <w:bodyDiv w:val="1"/>
      <w:marLeft w:val="0"/>
      <w:marRight w:val="0"/>
      <w:marTop w:val="0"/>
      <w:marBottom w:val="0"/>
      <w:divBdr>
        <w:top w:val="none" w:sz="0" w:space="0" w:color="auto"/>
        <w:left w:val="none" w:sz="0" w:space="0" w:color="auto"/>
        <w:bottom w:val="none" w:sz="0" w:space="0" w:color="auto"/>
        <w:right w:val="none" w:sz="0" w:space="0" w:color="auto"/>
      </w:divBdr>
      <w:divsChild>
        <w:div w:id="143355928">
          <w:marLeft w:val="0"/>
          <w:marRight w:val="0"/>
          <w:marTop w:val="0"/>
          <w:marBottom w:val="0"/>
          <w:divBdr>
            <w:top w:val="none" w:sz="0" w:space="0" w:color="auto"/>
            <w:left w:val="none" w:sz="0" w:space="0" w:color="auto"/>
            <w:bottom w:val="none" w:sz="0" w:space="0" w:color="auto"/>
            <w:right w:val="none" w:sz="0" w:space="0" w:color="auto"/>
          </w:divBdr>
        </w:div>
        <w:div w:id="681320583">
          <w:marLeft w:val="0"/>
          <w:marRight w:val="0"/>
          <w:marTop w:val="0"/>
          <w:marBottom w:val="0"/>
          <w:divBdr>
            <w:top w:val="none" w:sz="0" w:space="0" w:color="auto"/>
            <w:left w:val="none" w:sz="0" w:space="0" w:color="auto"/>
            <w:bottom w:val="none" w:sz="0" w:space="0" w:color="auto"/>
            <w:right w:val="none" w:sz="0" w:space="0" w:color="auto"/>
          </w:divBdr>
        </w:div>
        <w:div w:id="1806924729">
          <w:marLeft w:val="0"/>
          <w:marRight w:val="0"/>
          <w:marTop w:val="0"/>
          <w:marBottom w:val="0"/>
          <w:divBdr>
            <w:top w:val="none" w:sz="0" w:space="0" w:color="auto"/>
            <w:left w:val="none" w:sz="0" w:space="0" w:color="auto"/>
            <w:bottom w:val="none" w:sz="0" w:space="0" w:color="auto"/>
            <w:right w:val="none" w:sz="0" w:space="0" w:color="auto"/>
          </w:divBdr>
        </w:div>
      </w:divsChild>
    </w:div>
    <w:div w:id="68232222">
      <w:bodyDiv w:val="1"/>
      <w:marLeft w:val="0"/>
      <w:marRight w:val="0"/>
      <w:marTop w:val="0"/>
      <w:marBottom w:val="0"/>
      <w:divBdr>
        <w:top w:val="none" w:sz="0" w:space="0" w:color="auto"/>
        <w:left w:val="none" w:sz="0" w:space="0" w:color="auto"/>
        <w:bottom w:val="none" w:sz="0" w:space="0" w:color="auto"/>
        <w:right w:val="none" w:sz="0" w:space="0" w:color="auto"/>
      </w:divBdr>
      <w:divsChild>
        <w:div w:id="160896687">
          <w:marLeft w:val="0"/>
          <w:marRight w:val="0"/>
          <w:marTop w:val="0"/>
          <w:marBottom w:val="0"/>
          <w:divBdr>
            <w:top w:val="none" w:sz="0" w:space="0" w:color="auto"/>
            <w:left w:val="none" w:sz="0" w:space="0" w:color="auto"/>
            <w:bottom w:val="none" w:sz="0" w:space="0" w:color="auto"/>
            <w:right w:val="none" w:sz="0" w:space="0" w:color="auto"/>
          </w:divBdr>
        </w:div>
        <w:div w:id="198903895">
          <w:marLeft w:val="0"/>
          <w:marRight w:val="0"/>
          <w:marTop w:val="0"/>
          <w:marBottom w:val="0"/>
          <w:divBdr>
            <w:top w:val="none" w:sz="0" w:space="0" w:color="auto"/>
            <w:left w:val="none" w:sz="0" w:space="0" w:color="auto"/>
            <w:bottom w:val="none" w:sz="0" w:space="0" w:color="auto"/>
            <w:right w:val="none" w:sz="0" w:space="0" w:color="auto"/>
          </w:divBdr>
        </w:div>
        <w:div w:id="606886902">
          <w:marLeft w:val="0"/>
          <w:marRight w:val="0"/>
          <w:marTop w:val="0"/>
          <w:marBottom w:val="0"/>
          <w:divBdr>
            <w:top w:val="none" w:sz="0" w:space="0" w:color="auto"/>
            <w:left w:val="none" w:sz="0" w:space="0" w:color="auto"/>
            <w:bottom w:val="none" w:sz="0" w:space="0" w:color="auto"/>
            <w:right w:val="none" w:sz="0" w:space="0" w:color="auto"/>
          </w:divBdr>
        </w:div>
        <w:div w:id="874735665">
          <w:marLeft w:val="0"/>
          <w:marRight w:val="0"/>
          <w:marTop w:val="0"/>
          <w:marBottom w:val="0"/>
          <w:divBdr>
            <w:top w:val="none" w:sz="0" w:space="0" w:color="auto"/>
            <w:left w:val="none" w:sz="0" w:space="0" w:color="auto"/>
            <w:bottom w:val="none" w:sz="0" w:space="0" w:color="auto"/>
            <w:right w:val="none" w:sz="0" w:space="0" w:color="auto"/>
          </w:divBdr>
        </w:div>
        <w:div w:id="884608993">
          <w:marLeft w:val="0"/>
          <w:marRight w:val="0"/>
          <w:marTop w:val="0"/>
          <w:marBottom w:val="0"/>
          <w:divBdr>
            <w:top w:val="none" w:sz="0" w:space="0" w:color="auto"/>
            <w:left w:val="none" w:sz="0" w:space="0" w:color="auto"/>
            <w:bottom w:val="none" w:sz="0" w:space="0" w:color="auto"/>
            <w:right w:val="none" w:sz="0" w:space="0" w:color="auto"/>
          </w:divBdr>
        </w:div>
        <w:div w:id="1374690690">
          <w:marLeft w:val="0"/>
          <w:marRight w:val="0"/>
          <w:marTop w:val="0"/>
          <w:marBottom w:val="0"/>
          <w:divBdr>
            <w:top w:val="none" w:sz="0" w:space="0" w:color="auto"/>
            <w:left w:val="none" w:sz="0" w:space="0" w:color="auto"/>
            <w:bottom w:val="none" w:sz="0" w:space="0" w:color="auto"/>
            <w:right w:val="none" w:sz="0" w:space="0" w:color="auto"/>
          </w:divBdr>
        </w:div>
        <w:div w:id="2098477004">
          <w:marLeft w:val="0"/>
          <w:marRight w:val="0"/>
          <w:marTop w:val="0"/>
          <w:marBottom w:val="0"/>
          <w:divBdr>
            <w:top w:val="none" w:sz="0" w:space="0" w:color="auto"/>
            <w:left w:val="none" w:sz="0" w:space="0" w:color="auto"/>
            <w:bottom w:val="none" w:sz="0" w:space="0" w:color="auto"/>
            <w:right w:val="none" w:sz="0" w:space="0" w:color="auto"/>
          </w:divBdr>
        </w:div>
      </w:divsChild>
    </w:div>
    <w:div w:id="117995054">
      <w:bodyDiv w:val="1"/>
      <w:marLeft w:val="0"/>
      <w:marRight w:val="0"/>
      <w:marTop w:val="0"/>
      <w:marBottom w:val="0"/>
      <w:divBdr>
        <w:top w:val="none" w:sz="0" w:space="0" w:color="auto"/>
        <w:left w:val="none" w:sz="0" w:space="0" w:color="auto"/>
        <w:bottom w:val="none" w:sz="0" w:space="0" w:color="auto"/>
        <w:right w:val="none" w:sz="0" w:space="0" w:color="auto"/>
      </w:divBdr>
      <w:divsChild>
        <w:div w:id="774639349">
          <w:marLeft w:val="0"/>
          <w:marRight w:val="0"/>
          <w:marTop w:val="0"/>
          <w:marBottom w:val="0"/>
          <w:divBdr>
            <w:top w:val="none" w:sz="0" w:space="0" w:color="auto"/>
            <w:left w:val="none" w:sz="0" w:space="0" w:color="auto"/>
            <w:bottom w:val="none" w:sz="0" w:space="0" w:color="auto"/>
            <w:right w:val="none" w:sz="0" w:space="0" w:color="auto"/>
          </w:divBdr>
        </w:div>
        <w:div w:id="1730179333">
          <w:marLeft w:val="0"/>
          <w:marRight w:val="0"/>
          <w:marTop w:val="0"/>
          <w:marBottom w:val="0"/>
          <w:divBdr>
            <w:top w:val="none" w:sz="0" w:space="0" w:color="auto"/>
            <w:left w:val="none" w:sz="0" w:space="0" w:color="auto"/>
            <w:bottom w:val="none" w:sz="0" w:space="0" w:color="auto"/>
            <w:right w:val="none" w:sz="0" w:space="0" w:color="auto"/>
          </w:divBdr>
        </w:div>
        <w:div w:id="1896700808">
          <w:marLeft w:val="0"/>
          <w:marRight w:val="0"/>
          <w:marTop w:val="0"/>
          <w:marBottom w:val="0"/>
          <w:divBdr>
            <w:top w:val="none" w:sz="0" w:space="0" w:color="auto"/>
            <w:left w:val="none" w:sz="0" w:space="0" w:color="auto"/>
            <w:bottom w:val="none" w:sz="0" w:space="0" w:color="auto"/>
            <w:right w:val="none" w:sz="0" w:space="0" w:color="auto"/>
          </w:divBdr>
        </w:div>
      </w:divsChild>
    </w:div>
    <w:div w:id="131336200">
      <w:bodyDiv w:val="1"/>
      <w:marLeft w:val="0"/>
      <w:marRight w:val="0"/>
      <w:marTop w:val="0"/>
      <w:marBottom w:val="0"/>
      <w:divBdr>
        <w:top w:val="none" w:sz="0" w:space="0" w:color="auto"/>
        <w:left w:val="none" w:sz="0" w:space="0" w:color="auto"/>
        <w:bottom w:val="none" w:sz="0" w:space="0" w:color="auto"/>
        <w:right w:val="none" w:sz="0" w:space="0" w:color="auto"/>
      </w:divBdr>
      <w:divsChild>
        <w:div w:id="112216845">
          <w:marLeft w:val="0"/>
          <w:marRight w:val="0"/>
          <w:marTop w:val="0"/>
          <w:marBottom w:val="0"/>
          <w:divBdr>
            <w:top w:val="none" w:sz="0" w:space="0" w:color="auto"/>
            <w:left w:val="none" w:sz="0" w:space="0" w:color="auto"/>
            <w:bottom w:val="none" w:sz="0" w:space="0" w:color="auto"/>
            <w:right w:val="none" w:sz="0" w:space="0" w:color="auto"/>
          </w:divBdr>
        </w:div>
        <w:div w:id="299045436">
          <w:marLeft w:val="0"/>
          <w:marRight w:val="0"/>
          <w:marTop w:val="0"/>
          <w:marBottom w:val="0"/>
          <w:divBdr>
            <w:top w:val="none" w:sz="0" w:space="0" w:color="auto"/>
            <w:left w:val="none" w:sz="0" w:space="0" w:color="auto"/>
            <w:bottom w:val="none" w:sz="0" w:space="0" w:color="auto"/>
            <w:right w:val="none" w:sz="0" w:space="0" w:color="auto"/>
          </w:divBdr>
        </w:div>
        <w:div w:id="331296180">
          <w:marLeft w:val="0"/>
          <w:marRight w:val="0"/>
          <w:marTop w:val="0"/>
          <w:marBottom w:val="0"/>
          <w:divBdr>
            <w:top w:val="none" w:sz="0" w:space="0" w:color="auto"/>
            <w:left w:val="none" w:sz="0" w:space="0" w:color="auto"/>
            <w:bottom w:val="none" w:sz="0" w:space="0" w:color="auto"/>
            <w:right w:val="none" w:sz="0" w:space="0" w:color="auto"/>
          </w:divBdr>
        </w:div>
        <w:div w:id="799954223">
          <w:marLeft w:val="0"/>
          <w:marRight w:val="0"/>
          <w:marTop w:val="0"/>
          <w:marBottom w:val="0"/>
          <w:divBdr>
            <w:top w:val="none" w:sz="0" w:space="0" w:color="auto"/>
            <w:left w:val="none" w:sz="0" w:space="0" w:color="auto"/>
            <w:bottom w:val="none" w:sz="0" w:space="0" w:color="auto"/>
            <w:right w:val="none" w:sz="0" w:space="0" w:color="auto"/>
          </w:divBdr>
        </w:div>
        <w:div w:id="1227228548">
          <w:marLeft w:val="0"/>
          <w:marRight w:val="0"/>
          <w:marTop w:val="0"/>
          <w:marBottom w:val="0"/>
          <w:divBdr>
            <w:top w:val="none" w:sz="0" w:space="0" w:color="auto"/>
            <w:left w:val="none" w:sz="0" w:space="0" w:color="auto"/>
            <w:bottom w:val="none" w:sz="0" w:space="0" w:color="auto"/>
            <w:right w:val="none" w:sz="0" w:space="0" w:color="auto"/>
          </w:divBdr>
        </w:div>
        <w:div w:id="1247575509">
          <w:marLeft w:val="0"/>
          <w:marRight w:val="0"/>
          <w:marTop w:val="0"/>
          <w:marBottom w:val="0"/>
          <w:divBdr>
            <w:top w:val="none" w:sz="0" w:space="0" w:color="auto"/>
            <w:left w:val="none" w:sz="0" w:space="0" w:color="auto"/>
            <w:bottom w:val="none" w:sz="0" w:space="0" w:color="auto"/>
            <w:right w:val="none" w:sz="0" w:space="0" w:color="auto"/>
          </w:divBdr>
        </w:div>
        <w:div w:id="1655715188">
          <w:marLeft w:val="0"/>
          <w:marRight w:val="0"/>
          <w:marTop w:val="0"/>
          <w:marBottom w:val="0"/>
          <w:divBdr>
            <w:top w:val="none" w:sz="0" w:space="0" w:color="auto"/>
            <w:left w:val="none" w:sz="0" w:space="0" w:color="auto"/>
            <w:bottom w:val="none" w:sz="0" w:space="0" w:color="auto"/>
            <w:right w:val="none" w:sz="0" w:space="0" w:color="auto"/>
          </w:divBdr>
        </w:div>
      </w:divsChild>
    </w:div>
    <w:div w:id="169954969">
      <w:bodyDiv w:val="1"/>
      <w:marLeft w:val="0"/>
      <w:marRight w:val="0"/>
      <w:marTop w:val="0"/>
      <w:marBottom w:val="0"/>
      <w:divBdr>
        <w:top w:val="none" w:sz="0" w:space="0" w:color="auto"/>
        <w:left w:val="none" w:sz="0" w:space="0" w:color="auto"/>
        <w:bottom w:val="none" w:sz="0" w:space="0" w:color="auto"/>
        <w:right w:val="none" w:sz="0" w:space="0" w:color="auto"/>
      </w:divBdr>
      <w:divsChild>
        <w:div w:id="601493936">
          <w:marLeft w:val="0"/>
          <w:marRight w:val="0"/>
          <w:marTop w:val="0"/>
          <w:marBottom w:val="0"/>
          <w:divBdr>
            <w:top w:val="none" w:sz="0" w:space="0" w:color="auto"/>
            <w:left w:val="none" w:sz="0" w:space="0" w:color="auto"/>
            <w:bottom w:val="none" w:sz="0" w:space="0" w:color="auto"/>
            <w:right w:val="none" w:sz="0" w:space="0" w:color="auto"/>
          </w:divBdr>
        </w:div>
        <w:div w:id="1134062640">
          <w:marLeft w:val="0"/>
          <w:marRight w:val="0"/>
          <w:marTop w:val="0"/>
          <w:marBottom w:val="0"/>
          <w:divBdr>
            <w:top w:val="none" w:sz="0" w:space="0" w:color="auto"/>
            <w:left w:val="none" w:sz="0" w:space="0" w:color="auto"/>
            <w:bottom w:val="none" w:sz="0" w:space="0" w:color="auto"/>
            <w:right w:val="none" w:sz="0" w:space="0" w:color="auto"/>
          </w:divBdr>
        </w:div>
      </w:divsChild>
    </w:div>
    <w:div w:id="242302978">
      <w:bodyDiv w:val="1"/>
      <w:marLeft w:val="0"/>
      <w:marRight w:val="0"/>
      <w:marTop w:val="0"/>
      <w:marBottom w:val="0"/>
      <w:divBdr>
        <w:top w:val="none" w:sz="0" w:space="0" w:color="auto"/>
        <w:left w:val="none" w:sz="0" w:space="0" w:color="auto"/>
        <w:bottom w:val="none" w:sz="0" w:space="0" w:color="auto"/>
        <w:right w:val="none" w:sz="0" w:space="0" w:color="auto"/>
      </w:divBdr>
      <w:divsChild>
        <w:div w:id="262346087">
          <w:marLeft w:val="0"/>
          <w:marRight w:val="0"/>
          <w:marTop w:val="0"/>
          <w:marBottom w:val="0"/>
          <w:divBdr>
            <w:top w:val="none" w:sz="0" w:space="0" w:color="auto"/>
            <w:left w:val="none" w:sz="0" w:space="0" w:color="auto"/>
            <w:bottom w:val="none" w:sz="0" w:space="0" w:color="auto"/>
            <w:right w:val="none" w:sz="0" w:space="0" w:color="auto"/>
          </w:divBdr>
        </w:div>
        <w:div w:id="405029037">
          <w:marLeft w:val="0"/>
          <w:marRight w:val="0"/>
          <w:marTop w:val="0"/>
          <w:marBottom w:val="0"/>
          <w:divBdr>
            <w:top w:val="none" w:sz="0" w:space="0" w:color="auto"/>
            <w:left w:val="none" w:sz="0" w:space="0" w:color="auto"/>
            <w:bottom w:val="none" w:sz="0" w:space="0" w:color="auto"/>
            <w:right w:val="none" w:sz="0" w:space="0" w:color="auto"/>
          </w:divBdr>
        </w:div>
        <w:div w:id="430005191">
          <w:marLeft w:val="0"/>
          <w:marRight w:val="0"/>
          <w:marTop w:val="0"/>
          <w:marBottom w:val="0"/>
          <w:divBdr>
            <w:top w:val="none" w:sz="0" w:space="0" w:color="auto"/>
            <w:left w:val="none" w:sz="0" w:space="0" w:color="auto"/>
            <w:bottom w:val="none" w:sz="0" w:space="0" w:color="auto"/>
            <w:right w:val="none" w:sz="0" w:space="0" w:color="auto"/>
          </w:divBdr>
        </w:div>
        <w:div w:id="1176075155">
          <w:marLeft w:val="0"/>
          <w:marRight w:val="0"/>
          <w:marTop w:val="0"/>
          <w:marBottom w:val="0"/>
          <w:divBdr>
            <w:top w:val="none" w:sz="0" w:space="0" w:color="auto"/>
            <w:left w:val="none" w:sz="0" w:space="0" w:color="auto"/>
            <w:bottom w:val="none" w:sz="0" w:space="0" w:color="auto"/>
            <w:right w:val="none" w:sz="0" w:space="0" w:color="auto"/>
          </w:divBdr>
        </w:div>
        <w:div w:id="1515998791">
          <w:marLeft w:val="0"/>
          <w:marRight w:val="0"/>
          <w:marTop w:val="0"/>
          <w:marBottom w:val="0"/>
          <w:divBdr>
            <w:top w:val="none" w:sz="0" w:space="0" w:color="auto"/>
            <w:left w:val="none" w:sz="0" w:space="0" w:color="auto"/>
            <w:bottom w:val="none" w:sz="0" w:space="0" w:color="auto"/>
            <w:right w:val="none" w:sz="0" w:space="0" w:color="auto"/>
          </w:divBdr>
        </w:div>
      </w:divsChild>
    </w:div>
    <w:div w:id="282805494">
      <w:bodyDiv w:val="1"/>
      <w:marLeft w:val="0"/>
      <w:marRight w:val="0"/>
      <w:marTop w:val="0"/>
      <w:marBottom w:val="0"/>
      <w:divBdr>
        <w:top w:val="none" w:sz="0" w:space="0" w:color="auto"/>
        <w:left w:val="none" w:sz="0" w:space="0" w:color="auto"/>
        <w:bottom w:val="none" w:sz="0" w:space="0" w:color="auto"/>
        <w:right w:val="none" w:sz="0" w:space="0" w:color="auto"/>
      </w:divBdr>
    </w:div>
    <w:div w:id="418911316">
      <w:bodyDiv w:val="1"/>
      <w:marLeft w:val="0"/>
      <w:marRight w:val="0"/>
      <w:marTop w:val="0"/>
      <w:marBottom w:val="0"/>
      <w:divBdr>
        <w:top w:val="none" w:sz="0" w:space="0" w:color="auto"/>
        <w:left w:val="none" w:sz="0" w:space="0" w:color="auto"/>
        <w:bottom w:val="none" w:sz="0" w:space="0" w:color="auto"/>
        <w:right w:val="none" w:sz="0" w:space="0" w:color="auto"/>
      </w:divBdr>
      <w:divsChild>
        <w:div w:id="265039023">
          <w:marLeft w:val="0"/>
          <w:marRight w:val="0"/>
          <w:marTop w:val="0"/>
          <w:marBottom w:val="0"/>
          <w:divBdr>
            <w:top w:val="none" w:sz="0" w:space="0" w:color="auto"/>
            <w:left w:val="none" w:sz="0" w:space="0" w:color="auto"/>
            <w:bottom w:val="none" w:sz="0" w:space="0" w:color="auto"/>
            <w:right w:val="none" w:sz="0" w:space="0" w:color="auto"/>
          </w:divBdr>
        </w:div>
        <w:div w:id="359935452">
          <w:marLeft w:val="0"/>
          <w:marRight w:val="0"/>
          <w:marTop w:val="0"/>
          <w:marBottom w:val="0"/>
          <w:divBdr>
            <w:top w:val="none" w:sz="0" w:space="0" w:color="auto"/>
            <w:left w:val="none" w:sz="0" w:space="0" w:color="auto"/>
            <w:bottom w:val="none" w:sz="0" w:space="0" w:color="auto"/>
            <w:right w:val="none" w:sz="0" w:space="0" w:color="auto"/>
          </w:divBdr>
        </w:div>
        <w:div w:id="511795752">
          <w:marLeft w:val="0"/>
          <w:marRight w:val="0"/>
          <w:marTop w:val="0"/>
          <w:marBottom w:val="0"/>
          <w:divBdr>
            <w:top w:val="none" w:sz="0" w:space="0" w:color="auto"/>
            <w:left w:val="none" w:sz="0" w:space="0" w:color="auto"/>
            <w:bottom w:val="none" w:sz="0" w:space="0" w:color="auto"/>
            <w:right w:val="none" w:sz="0" w:space="0" w:color="auto"/>
          </w:divBdr>
        </w:div>
        <w:div w:id="1268730635">
          <w:marLeft w:val="0"/>
          <w:marRight w:val="0"/>
          <w:marTop w:val="0"/>
          <w:marBottom w:val="0"/>
          <w:divBdr>
            <w:top w:val="none" w:sz="0" w:space="0" w:color="auto"/>
            <w:left w:val="none" w:sz="0" w:space="0" w:color="auto"/>
            <w:bottom w:val="none" w:sz="0" w:space="0" w:color="auto"/>
            <w:right w:val="none" w:sz="0" w:space="0" w:color="auto"/>
          </w:divBdr>
        </w:div>
        <w:div w:id="1282690637">
          <w:marLeft w:val="0"/>
          <w:marRight w:val="0"/>
          <w:marTop w:val="0"/>
          <w:marBottom w:val="0"/>
          <w:divBdr>
            <w:top w:val="none" w:sz="0" w:space="0" w:color="auto"/>
            <w:left w:val="none" w:sz="0" w:space="0" w:color="auto"/>
            <w:bottom w:val="none" w:sz="0" w:space="0" w:color="auto"/>
            <w:right w:val="none" w:sz="0" w:space="0" w:color="auto"/>
          </w:divBdr>
        </w:div>
        <w:div w:id="1760515758">
          <w:marLeft w:val="0"/>
          <w:marRight w:val="0"/>
          <w:marTop w:val="0"/>
          <w:marBottom w:val="0"/>
          <w:divBdr>
            <w:top w:val="none" w:sz="0" w:space="0" w:color="auto"/>
            <w:left w:val="none" w:sz="0" w:space="0" w:color="auto"/>
            <w:bottom w:val="none" w:sz="0" w:space="0" w:color="auto"/>
            <w:right w:val="none" w:sz="0" w:space="0" w:color="auto"/>
          </w:divBdr>
        </w:div>
        <w:div w:id="1792433439">
          <w:marLeft w:val="0"/>
          <w:marRight w:val="0"/>
          <w:marTop w:val="0"/>
          <w:marBottom w:val="0"/>
          <w:divBdr>
            <w:top w:val="none" w:sz="0" w:space="0" w:color="auto"/>
            <w:left w:val="none" w:sz="0" w:space="0" w:color="auto"/>
            <w:bottom w:val="none" w:sz="0" w:space="0" w:color="auto"/>
            <w:right w:val="none" w:sz="0" w:space="0" w:color="auto"/>
          </w:divBdr>
        </w:div>
        <w:div w:id="1894348130">
          <w:marLeft w:val="0"/>
          <w:marRight w:val="0"/>
          <w:marTop w:val="0"/>
          <w:marBottom w:val="0"/>
          <w:divBdr>
            <w:top w:val="none" w:sz="0" w:space="0" w:color="auto"/>
            <w:left w:val="none" w:sz="0" w:space="0" w:color="auto"/>
            <w:bottom w:val="none" w:sz="0" w:space="0" w:color="auto"/>
            <w:right w:val="none" w:sz="0" w:space="0" w:color="auto"/>
          </w:divBdr>
        </w:div>
        <w:div w:id="1921409184">
          <w:marLeft w:val="0"/>
          <w:marRight w:val="0"/>
          <w:marTop w:val="0"/>
          <w:marBottom w:val="0"/>
          <w:divBdr>
            <w:top w:val="none" w:sz="0" w:space="0" w:color="auto"/>
            <w:left w:val="none" w:sz="0" w:space="0" w:color="auto"/>
            <w:bottom w:val="none" w:sz="0" w:space="0" w:color="auto"/>
            <w:right w:val="none" w:sz="0" w:space="0" w:color="auto"/>
          </w:divBdr>
        </w:div>
        <w:div w:id="1958677015">
          <w:marLeft w:val="0"/>
          <w:marRight w:val="0"/>
          <w:marTop w:val="0"/>
          <w:marBottom w:val="0"/>
          <w:divBdr>
            <w:top w:val="none" w:sz="0" w:space="0" w:color="auto"/>
            <w:left w:val="none" w:sz="0" w:space="0" w:color="auto"/>
            <w:bottom w:val="none" w:sz="0" w:space="0" w:color="auto"/>
            <w:right w:val="none" w:sz="0" w:space="0" w:color="auto"/>
          </w:divBdr>
        </w:div>
      </w:divsChild>
    </w:div>
    <w:div w:id="564801427">
      <w:bodyDiv w:val="1"/>
      <w:marLeft w:val="0"/>
      <w:marRight w:val="0"/>
      <w:marTop w:val="0"/>
      <w:marBottom w:val="0"/>
      <w:divBdr>
        <w:top w:val="none" w:sz="0" w:space="0" w:color="auto"/>
        <w:left w:val="none" w:sz="0" w:space="0" w:color="auto"/>
        <w:bottom w:val="none" w:sz="0" w:space="0" w:color="auto"/>
        <w:right w:val="none" w:sz="0" w:space="0" w:color="auto"/>
      </w:divBdr>
      <w:divsChild>
        <w:div w:id="199124598">
          <w:marLeft w:val="0"/>
          <w:marRight w:val="0"/>
          <w:marTop w:val="0"/>
          <w:marBottom w:val="0"/>
          <w:divBdr>
            <w:top w:val="none" w:sz="0" w:space="0" w:color="auto"/>
            <w:left w:val="none" w:sz="0" w:space="0" w:color="auto"/>
            <w:bottom w:val="none" w:sz="0" w:space="0" w:color="auto"/>
            <w:right w:val="none" w:sz="0" w:space="0" w:color="auto"/>
          </w:divBdr>
        </w:div>
        <w:div w:id="809329046">
          <w:marLeft w:val="0"/>
          <w:marRight w:val="0"/>
          <w:marTop w:val="0"/>
          <w:marBottom w:val="0"/>
          <w:divBdr>
            <w:top w:val="none" w:sz="0" w:space="0" w:color="auto"/>
            <w:left w:val="none" w:sz="0" w:space="0" w:color="auto"/>
            <w:bottom w:val="none" w:sz="0" w:space="0" w:color="auto"/>
            <w:right w:val="none" w:sz="0" w:space="0" w:color="auto"/>
          </w:divBdr>
        </w:div>
        <w:div w:id="1022174139">
          <w:marLeft w:val="0"/>
          <w:marRight w:val="0"/>
          <w:marTop w:val="0"/>
          <w:marBottom w:val="0"/>
          <w:divBdr>
            <w:top w:val="none" w:sz="0" w:space="0" w:color="auto"/>
            <w:left w:val="none" w:sz="0" w:space="0" w:color="auto"/>
            <w:bottom w:val="none" w:sz="0" w:space="0" w:color="auto"/>
            <w:right w:val="none" w:sz="0" w:space="0" w:color="auto"/>
          </w:divBdr>
        </w:div>
        <w:div w:id="1197550100">
          <w:marLeft w:val="0"/>
          <w:marRight w:val="0"/>
          <w:marTop w:val="0"/>
          <w:marBottom w:val="0"/>
          <w:divBdr>
            <w:top w:val="none" w:sz="0" w:space="0" w:color="auto"/>
            <w:left w:val="none" w:sz="0" w:space="0" w:color="auto"/>
            <w:bottom w:val="none" w:sz="0" w:space="0" w:color="auto"/>
            <w:right w:val="none" w:sz="0" w:space="0" w:color="auto"/>
          </w:divBdr>
        </w:div>
        <w:div w:id="1295598067">
          <w:marLeft w:val="0"/>
          <w:marRight w:val="0"/>
          <w:marTop w:val="0"/>
          <w:marBottom w:val="0"/>
          <w:divBdr>
            <w:top w:val="none" w:sz="0" w:space="0" w:color="auto"/>
            <w:left w:val="none" w:sz="0" w:space="0" w:color="auto"/>
            <w:bottom w:val="none" w:sz="0" w:space="0" w:color="auto"/>
            <w:right w:val="none" w:sz="0" w:space="0" w:color="auto"/>
          </w:divBdr>
        </w:div>
        <w:div w:id="1455489799">
          <w:marLeft w:val="0"/>
          <w:marRight w:val="0"/>
          <w:marTop w:val="0"/>
          <w:marBottom w:val="0"/>
          <w:divBdr>
            <w:top w:val="none" w:sz="0" w:space="0" w:color="auto"/>
            <w:left w:val="none" w:sz="0" w:space="0" w:color="auto"/>
            <w:bottom w:val="none" w:sz="0" w:space="0" w:color="auto"/>
            <w:right w:val="none" w:sz="0" w:space="0" w:color="auto"/>
          </w:divBdr>
        </w:div>
        <w:div w:id="1580288685">
          <w:marLeft w:val="0"/>
          <w:marRight w:val="0"/>
          <w:marTop w:val="0"/>
          <w:marBottom w:val="0"/>
          <w:divBdr>
            <w:top w:val="none" w:sz="0" w:space="0" w:color="auto"/>
            <w:left w:val="none" w:sz="0" w:space="0" w:color="auto"/>
            <w:bottom w:val="none" w:sz="0" w:space="0" w:color="auto"/>
            <w:right w:val="none" w:sz="0" w:space="0" w:color="auto"/>
          </w:divBdr>
        </w:div>
        <w:div w:id="1688363161">
          <w:marLeft w:val="0"/>
          <w:marRight w:val="0"/>
          <w:marTop w:val="0"/>
          <w:marBottom w:val="0"/>
          <w:divBdr>
            <w:top w:val="none" w:sz="0" w:space="0" w:color="auto"/>
            <w:left w:val="none" w:sz="0" w:space="0" w:color="auto"/>
            <w:bottom w:val="none" w:sz="0" w:space="0" w:color="auto"/>
            <w:right w:val="none" w:sz="0" w:space="0" w:color="auto"/>
          </w:divBdr>
        </w:div>
        <w:div w:id="1965961835">
          <w:marLeft w:val="0"/>
          <w:marRight w:val="0"/>
          <w:marTop w:val="0"/>
          <w:marBottom w:val="0"/>
          <w:divBdr>
            <w:top w:val="none" w:sz="0" w:space="0" w:color="auto"/>
            <w:left w:val="none" w:sz="0" w:space="0" w:color="auto"/>
            <w:bottom w:val="none" w:sz="0" w:space="0" w:color="auto"/>
            <w:right w:val="none" w:sz="0" w:space="0" w:color="auto"/>
          </w:divBdr>
        </w:div>
        <w:div w:id="2110272085">
          <w:marLeft w:val="0"/>
          <w:marRight w:val="0"/>
          <w:marTop w:val="0"/>
          <w:marBottom w:val="0"/>
          <w:divBdr>
            <w:top w:val="none" w:sz="0" w:space="0" w:color="auto"/>
            <w:left w:val="none" w:sz="0" w:space="0" w:color="auto"/>
            <w:bottom w:val="none" w:sz="0" w:space="0" w:color="auto"/>
            <w:right w:val="none" w:sz="0" w:space="0" w:color="auto"/>
          </w:divBdr>
        </w:div>
      </w:divsChild>
    </w:div>
    <w:div w:id="714038635">
      <w:bodyDiv w:val="1"/>
      <w:marLeft w:val="0"/>
      <w:marRight w:val="0"/>
      <w:marTop w:val="0"/>
      <w:marBottom w:val="0"/>
      <w:divBdr>
        <w:top w:val="none" w:sz="0" w:space="0" w:color="auto"/>
        <w:left w:val="none" w:sz="0" w:space="0" w:color="auto"/>
        <w:bottom w:val="none" w:sz="0" w:space="0" w:color="auto"/>
        <w:right w:val="none" w:sz="0" w:space="0" w:color="auto"/>
      </w:divBdr>
      <w:divsChild>
        <w:div w:id="41291652">
          <w:marLeft w:val="0"/>
          <w:marRight w:val="0"/>
          <w:marTop w:val="135"/>
          <w:marBottom w:val="0"/>
          <w:divBdr>
            <w:top w:val="none" w:sz="0" w:space="0" w:color="auto"/>
            <w:left w:val="none" w:sz="0" w:space="0" w:color="auto"/>
            <w:bottom w:val="none" w:sz="0" w:space="0" w:color="auto"/>
            <w:right w:val="none" w:sz="0" w:space="0" w:color="auto"/>
          </w:divBdr>
        </w:div>
        <w:div w:id="936522840">
          <w:marLeft w:val="0"/>
          <w:marRight w:val="0"/>
          <w:marTop w:val="210"/>
          <w:marBottom w:val="0"/>
          <w:divBdr>
            <w:top w:val="none" w:sz="0" w:space="0" w:color="auto"/>
            <w:left w:val="none" w:sz="0" w:space="0" w:color="auto"/>
            <w:bottom w:val="none" w:sz="0" w:space="0" w:color="auto"/>
            <w:right w:val="none" w:sz="0" w:space="0" w:color="auto"/>
          </w:divBdr>
        </w:div>
      </w:divsChild>
    </w:div>
    <w:div w:id="725297466">
      <w:bodyDiv w:val="1"/>
      <w:marLeft w:val="0"/>
      <w:marRight w:val="0"/>
      <w:marTop w:val="0"/>
      <w:marBottom w:val="0"/>
      <w:divBdr>
        <w:top w:val="none" w:sz="0" w:space="0" w:color="auto"/>
        <w:left w:val="none" w:sz="0" w:space="0" w:color="auto"/>
        <w:bottom w:val="none" w:sz="0" w:space="0" w:color="auto"/>
        <w:right w:val="none" w:sz="0" w:space="0" w:color="auto"/>
      </w:divBdr>
      <w:divsChild>
        <w:div w:id="499269840">
          <w:marLeft w:val="0"/>
          <w:marRight w:val="0"/>
          <w:marTop w:val="0"/>
          <w:marBottom w:val="0"/>
          <w:divBdr>
            <w:top w:val="none" w:sz="0" w:space="0" w:color="auto"/>
            <w:left w:val="none" w:sz="0" w:space="0" w:color="auto"/>
            <w:bottom w:val="none" w:sz="0" w:space="0" w:color="auto"/>
            <w:right w:val="none" w:sz="0" w:space="0" w:color="auto"/>
          </w:divBdr>
        </w:div>
        <w:div w:id="535508693">
          <w:marLeft w:val="0"/>
          <w:marRight w:val="0"/>
          <w:marTop w:val="0"/>
          <w:marBottom w:val="0"/>
          <w:divBdr>
            <w:top w:val="none" w:sz="0" w:space="0" w:color="auto"/>
            <w:left w:val="none" w:sz="0" w:space="0" w:color="auto"/>
            <w:bottom w:val="none" w:sz="0" w:space="0" w:color="auto"/>
            <w:right w:val="none" w:sz="0" w:space="0" w:color="auto"/>
          </w:divBdr>
        </w:div>
        <w:div w:id="705567098">
          <w:marLeft w:val="0"/>
          <w:marRight w:val="0"/>
          <w:marTop w:val="0"/>
          <w:marBottom w:val="0"/>
          <w:divBdr>
            <w:top w:val="none" w:sz="0" w:space="0" w:color="auto"/>
            <w:left w:val="none" w:sz="0" w:space="0" w:color="auto"/>
            <w:bottom w:val="none" w:sz="0" w:space="0" w:color="auto"/>
            <w:right w:val="none" w:sz="0" w:space="0" w:color="auto"/>
          </w:divBdr>
        </w:div>
        <w:div w:id="1488286021">
          <w:marLeft w:val="0"/>
          <w:marRight w:val="0"/>
          <w:marTop w:val="0"/>
          <w:marBottom w:val="0"/>
          <w:divBdr>
            <w:top w:val="none" w:sz="0" w:space="0" w:color="auto"/>
            <w:left w:val="none" w:sz="0" w:space="0" w:color="auto"/>
            <w:bottom w:val="none" w:sz="0" w:space="0" w:color="auto"/>
            <w:right w:val="none" w:sz="0" w:space="0" w:color="auto"/>
          </w:divBdr>
        </w:div>
        <w:div w:id="1537424804">
          <w:marLeft w:val="0"/>
          <w:marRight w:val="0"/>
          <w:marTop w:val="0"/>
          <w:marBottom w:val="0"/>
          <w:divBdr>
            <w:top w:val="none" w:sz="0" w:space="0" w:color="auto"/>
            <w:left w:val="none" w:sz="0" w:space="0" w:color="auto"/>
            <w:bottom w:val="none" w:sz="0" w:space="0" w:color="auto"/>
            <w:right w:val="none" w:sz="0" w:space="0" w:color="auto"/>
          </w:divBdr>
        </w:div>
        <w:div w:id="1646425883">
          <w:marLeft w:val="0"/>
          <w:marRight w:val="0"/>
          <w:marTop w:val="0"/>
          <w:marBottom w:val="0"/>
          <w:divBdr>
            <w:top w:val="none" w:sz="0" w:space="0" w:color="auto"/>
            <w:left w:val="none" w:sz="0" w:space="0" w:color="auto"/>
            <w:bottom w:val="none" w:sz="0" w:space="0" w:color="auto"/>
            <w:right w:val="none" w:sz="0" w:space="0" w:color="auto"/>
          </w:divBdr>
        </w:div>
        <w:div w:id="1753887379">
          <w:marLeft w:val="0"/>
          <w:marRight w:val="0"/>
          <w:marTop w:val="0"/>
          <w:marBottom w:val="0"/>
          <w:divBdr>
            <w:top w:val="none" w:sz="0" w:space="0" w:color="auto"/>
            <w:left w:val="none" w:sz="0" w:space="0" w:color="auto"/>
            <w:bottom w:val="none" w:sz="0" w:space="0" w:color="auto"/>
            <w:right w:val="none" w:sz="0" w:space="0" w:color="auto"/>
          </w:divBdr>
        </w:div>
        <w:div w:id="2124415876">
          <w:marLeft w:val="0"/>
          <w:marRight w:val="0"/>
          <w:marTop w:val="0"/>
          <w:marBottom w:val="0"/>
          <w:divBdr>
            <w:top w:val="none" w:sz="0" w:space="0" w:color="auto"/>
            <w:left w:val="none" w:sz="0" w:space="0" w:color="auto"/>
            <w:bottom w:val="none" w:sz="0" w:space="0" w:color="auto"/>
            <w:right w:val="none" w:sz="0" w:space="0" w:color="auto"/>
          </w:divBdr>
        </w:div>
        <w:div w:id="2147042426">
          <w:marLeft w:val="0"/>
          <w:marRight w:val="0"/>
          <w:marTop w:val="0"/>
          <w:marBottom w:val="0"/>
          <w:divBdr>
            <w:top w:val="none" w:sz="0" w:space="0" w:color="auto"/>
            <w:left w:val="none" w:sz="0" w:space="0" w:color="auto"/>
            <w:bottom w:val="none" w:sz="0" w:space="0" w:color="auto"/>
            <w:right w:val="none" w:sz="0" w:space="0" w:color="auto"/>
          </w:divBdr>
        </w:div>
      </w:divsChild>
    </w:div>
    <w:div w:id="730620193">
      <w:bodyDiv w:val="1"/>
      <w:marLeft w:val="0"/>
      <w:marRight w:val="0"/>
      <w:marTop w:val="0"/>
      <w:marBottom w:val="0"/>
      <w:divBdr>
        <w:top w:val="none" w:sz="0" w:space="0" w:color="auto"/>
        <w:left w:val="none" w:sz="0" w:space="0" w:color="auto"/>
        <w:bottom w:val="none" w:sz="0" w:space="0" w:color="auto"/>
        <w:right w:val="none" w:sz="0" w:space="0" w:color="auto"/>
      </w:divBdr>
    </w:div>
    <w:div w:id="759183241">
      <w:bodyDiv w:val="1"/>
      <w:marLeft w:val="0"/>
      <w:marRight w:val="0"/>
      <w:marTop w:val="0"/>
      <w:marBottom w:val="0"/>
      <w:divBdr>
        <w:top w:val="none" w:sz="0" w:space="0" w:color="auto"/>
        <w:left w:val="none" w:sz="0" w:space="0" w:color="auto"/>
        <w:bottom w:val="none" w:sz="0" w:space="0" w:color="auto"/>
        <w:right w:val="none" w:sz="0" w:space="0" w:color="auto"/>
      </w:divBdr>
      <w:divsChild>
        <w:div w:id="313409752">
          <w:marLeft w:val="0"/>
          <w:marRight w:val="0"/>
          <w:marTop w:val="0"/>
          <w:marBottom w:val="0"/>
          <w:divBdr>
            <w:top w:val="none" w:sz="0" w:space="0" w:color="auto"/>
            <w:left w:val="none" w:sz="0" w:space="0" w:color="auto"/>
            <w:bottom w:val="none" w:sz="0" w:space="0" w:color="auto"/>
            <w:right w:val="none" w:sz="0" w:space="0" w:color="auto"/>
          </w:divBdr>
        </w:div>
        <w:div w:id="1033992781">
          <w:marLeft w:val="0"/>
          <w:marRight w:val="0"/>
          <w:marTop w:val="0"/>
          <w:marBottom w:val="0"/>
          <w:divBdr>
            <w:top w:val="none" w:sz="0" w:space="0" w:color="auto"/>
            <w:left w:val="none" w:sz="0" w:space="0" w:color="auto"/>
            <w:bottom w:val="none" w:sz="0" w:space="0" w:color="auto"/>
            <w:right w:val="none" w:sz="0" w:space="0" w:color="auto"/>
          </w:divBdr>
        </w:div>
        <w:div w:id="1325863632">
          <w:marLeft w:val="0"/>
          <w:marRight w:val="0"/>
          <w:marTop w:val="0"/>
          <w:marBottom w:val="0"/>
          <w:divBdr>
            <w:top w:val="none" w:sz="0" w:space="0" w:color="auto"/>
            <w:left w:val="none" w:sz="0" w:space="0" w:color="auto"/>
            <w:bottom w:val="none" w:sz="0" w:space="0" w:color="auto"/>
            <w:right w:val="none" w:sz="0" w:space="0" w:color="auto"/>
          </w:divBdr>
        </w:div>
      </w:divsChild>
    </w:div>
    <w:div w:id="814840478">
      <w:bodyDiv w:val="1"/>
      <w:marLeft w:val="0"/>
      <w:marRight w:val="0"/>
      <w:marTop w:val="0"/>
      <w:marBottom w:val="0"/>
      <w:divBdr>
        <w:top w:val="none" w:sz="0" w:space="0" w:color="auto"/>
        <w:left w:val="none" w:sz="0" w:space="0" w:color="auto"/>
        <w:bottom w:val="none" w:sz="0" w:space="0" w:color="auto"/>
        <w:right w:val="none" w:sz="0" w:space="0" w:color="auto"/>
      </w:divBdr>
      <w:divsChild>
        <w:div w:id="1447430574">
          <w:marLeft w:val="0"/>
          <w:marRight w:val="0"/>
          <w:marTop w:val="0"/>
          <w:marBottom w:val="0"/>
          <w:divBdr>
            <w:top w:val="none" w:sz="0" w:space="0" w:color="auto"/>
            <w:left w:val="none" w:sz="0" w:space="0" w:color="auto"/>
            <w:bottom w:val="none" w:sz="0" w:space="0" w:color="auto"/>
            <w:right w:val="none" w:sz="0" w:space="0" w:color="auto"/>
          </w:divBdr>
        </w:div>
        <w:div w:id="1717387713">
          <w:marLeft w:val="0"/>
          <w:marRight w:val="0"/>
          <w:marTop w:val="0"/>
          <w:marBottom w:val="0"/>
          <w:divBdr>
            <w:top w:val="none" w:sz="0" w:space="0" w:color="auto"/>
            <w:left w:val="none" w:sz="0" w:space="0" w:color="auto"/>
            <w:bottom w:val="none" w:sz="0" w:space="0" w:color="auto"/>
            <w:right w:val="none" w:sz="0" w:space="0" w:color="auto"/>
          </w:divBdr>
        </w:div>
        <w:div w:id="1937984213">
          <w:marLeft w:val="0"/>
          <w:marRight w:val="0"/>
          <w:marTop w:val="0"/>
          <w:marBottom w:val="0"/>
          <w:divBdr>
            <w:top w:val="none" w:sz="0" w:space="0" w:color="auto"/>
            <w:left w:val="none" w:sz="0" w:space="0" w:color="auto"/>
            <w:bottom w:val="none" w:sz="0" w:space="0" w:color="auto"/>
            <w:right w:val="none" w:sz="0" w:space="0" w:color="auto"/>
          </w:divBdr>
        </w:div>
      </w:divsChild>
    </w:div>
    <w:div w:id="838079744">
      <w:bodyDiv w:val="1"/>
      <w:marLeft w:val="0"/>
      <w:marRight w:val="0"/>
      <w:marTop w:val="0"/>
      <w:marBottom w:val="0"/>
      <w:divBdr>
        <w:top w:val="none" w:sz="0" w:space="0" w:color="auto"/>
        <w:left w:val="none" w:sz="0" w:space="0" w:color="auto"/>
        <w:bottom w:val="none" w:sz="0" w:space="0" w:color="auto"/>
        <w:right w:val="none" w:sz="0" w:space="0" w:color="auto"/>
      </w:divBdr>
      <w:divsChild>
        <w:div w:id="1425154123">
          <w:marLeft w:val="0"/>
          <w:marRight w:val="0"/>
          <w:marTop w:val="0"/>
          <w:marBottom w:val="0"/>
          <w:divBdr>
            <w:top w:val="none" w:sz="0" w:space="0" w:color="auto"/>
            <w:left w:val="none" w:sz="0" w:space="0" w:color="auto"/>
            <w:bottom w:val="none" w:sz="0" w:space="0" w:color="auto"/>
            <w:right w:val="none" w:sz="0" w:space="0" w:color="auto"/>
          </w:divBdr>
        </w:div>
        <w:div w:id="1894778868">
          <w:marLeft w:val="0"/>
          <w:marRight w:val="0"/>
          <w:marTop w:val="0"/>
          <w:marBottom w:val="0"/>
          <w:divBdr>
            <w:top w:val="none" w:sz="0" w:space="0" w:color="auto"/>
            <w:left w:val="none" w:sz="0" w:space="0" w:color="auto"/>
            <w:bottom w:val="none" w:sz="0" w:space="0" w:color="auto"/>
            <w:right w:val="none" w:sz="0" w:space="0" w:color="auto"/>
          </w:divBdr>
        </w:div>
      </w:divsChild>
    </w:div>
    <w:div w:id="900287802">
      <w:bodyDiv w:val="1"/>
      <w:marLeft w:val="0"/>
      <w:marRight w:val="0"/>
      <w:marTop w:val="0"/>
      <w:marBottom w:val="0"/>
      <w:divBdr>
        <w:top w:val="none" w:sz="0" w:space="0" w:color="auto"/>
        <w:left w:val="none" w:sz="0" w:space="0" w:color="auto"/>
        <w:bottom w:val="none" w:sz="0" w:space="0" w:color="auto"/>
        <w:right w:val="none" w:sz="0" w:space="0" w:color="auto"/>
      </w:divBdr>
      <w:divsChild>
        <w:div w:id="118230995">
          <w:marLeft w:val="0"/>
          <w:marRight w:val="0"/>
          <w:marTop w:val="0"/>
          <w:marBottom w:val="0"/>
          <w:divBdr>
            <w:top w:val="none" w:sz="0" w:space="0" w:color="auto"/>
            <w:left w:val="none" w:sz="0" w:space="0" w:color="auto"/>
            <w:bottom w:val="none" w:sz="0" w:space="0" w:color="auto"/>
            <w:right w:val="none" w:sz="0" w:space="0" w:color="auto"/>
          </w:divBdr>
        </w:div>
        <w:div w:id="347634037">
          <w:marLeft w:val="0"/>
          <w:marRight w:val="0"/>
          <w:marTop w:val="0"/>
          <w:marBottom w:val="0"/>
          <w:divBdr>
            <w:top w:val="none" w:sz="0" w:space="0" w:color="auto"/>
            <w:left w:val="none" w:sz="0" w:space="0" w:color="auto"/>
            <w:bottom w:val="none" w:sz="0" w:space="0" w:color="auto"/>
            <w:right w:val="none" w:sz="0" w:space="0" w:color="auto"/>
          </w:divBdr>
        </w:div>
        <w:div w:id="880895493">
          <w:marLeft w:val="0"/>
          <w:marRight w:val="0"/>
          <w:marTop w:val="0"/>
          <w:marBottom w:val="0"/>
          <w:divBdr>
            <w:top w:val="none" w:sz="0" w:space="0" w:color="auto"/>
            <w:left w:val="none" w:sz="0" w:space="0" w:color="auto"/>
            <w:bottom w:val="none" w:sz="0" w:space="0" w:color="auto"/>
            <w:right w:val="none" w:sz="0" w:space="0" w:color="auto"/>
          </w:divBdr>
        </w:div>
      </w:divsChild>
    </w:div>
    <w:div w:id="992374563">
      <w:bodyDiv w:val="1"/>
      <w:marLeft w:val="0"/>
      <w:marRight w:val="0"/>
      <w:marTop w:val="0"/>
      <w:marBottom w:val="0"/>
      <w:divBdr>
        <w:top w:val="none" w:sz="0" w:space="0" w:color="auto"/>
        <w:left w:val="none" w:sz="0" w:space="0" w:color="auto"/>
        <w:bottom w:val="none" w:sz="0" w:space="0" w:color="auto"/>
        <w:right w:val="none" w:sz="0" w:space="0" w:color="auto"/>
      </w:divBdr>
    </w:div>
    <w:div w:id="1066730662">
      <w:bodyDiv w:val="1"/>
      <w:marLeft w:val="0"/>
      <w:marRight w:val="0"/>
      <w:marTop w:val="0"/>
      <w:marBottom w:val="0"/>
      <w:divBdr>
        <w:top w:val="none" w:sz="0" w:space="0" w:color="auto"/>
        <w:left w:val="none" w:sz="0" w:space="0" w:color="auto"/>
        <w:bottom w:val="none" w:sz="0" w:space="0" w:color="auto"/>
        <w:right w:val="none" w:sz="0" w:space="0" w:color="auto"/>
      </w:divBdr>
    </w:div>
    <w:div w:id="1086421300">
      <w:bodyDiv w:val="1"/>
      <w:marLeft w:val="0"/>
      <w:marRight w:val="0"/>
      <w:marTop w:val="0"/>
      <w:marBottom w:val="0"/>
      <w:divBdr>
        <w:top w:val="none" w:sz="0" w:space="0" w:color="auto"/>
        <w:left w:val="none" w:sz="0" w:space="0" w:color="auto"/>
        <w:bottom w:val="none" w:sz="0" w:space="0" w:color="auto"/>
        <w:right w:val="none" w:sz="0" w:space="0" w:color="auto"/>
      </w:divBdr>
      <w:divsChild>
        <w:div w:id="1195540208">
          <w:marLeft w:val="0"/>
          <w:marRight w:val="0"/>
          <w:marTop w:val="0"/>
          <w:marBottom w:val="0"/>
          <w:divBdr>
            <w:top w:val="none" w:sz="0" w:space="0" w:color="auto"/>
            <w:left w:val="none" w:sz="0" w:space="0" w:color="auto"/>
            <w:bottom w:val="none" w:sz="0" w:space="0" w:color="auto"/>
            <w:right w:val="none" w:sz="0" w:space="0" w:color="auto"/>
          </w:divBdr>
        </w:div>
        <w:div w:id="2071297920">
          <w:marLeft w:val="0"/>
          <w:marRight w:val="0"/>
          <w:marTop w:val="0"/>
          <w:marBottom w:val="0"/>
          <w:divBdr>
            <w:top w:val="none" w:sz="0" w:space="0" w:color="auto"/>
            <w:left w:val="none" w:sz="0" w:space="0" w:color="auto"/>
            <w:bottom w:val="none" w:sz="0" w:space="0" w:color="auto"/>
            <w:right w:val="none" w:sz="0" w:space="0" w:color="auto"/>
          </w:divBdr>
        </w:div>
        <w:div w:id="2073381301">
          <w:marLeft w:val="0"/>
          <w:marRight w:val="0"/>
          <w:marTop w:val="0"/>
          <w:marBottom w:val="0"/>
          <w:divBdr>
            <w:top w:val="none" w:sz="0" w:space="0" w:color="auto"/>
            <w:left w:val="none" w:sz="0" w:space="0" w:color="auto"/>
            <w:bottom w:val="none" w:sz="0" w:space="0" w:color="auto"/>
            <w:right w:val="none" w:sz="0" w:space="0" w:color="auto"/>
          </w:divBdr>
        </w:div>
      </w:divsChild>
    </w:div>
    <w:div w:id="1342274841">
      <w:bodyDiv w:val="1"/>
      <w:marLeft w:val="0"/>
      <w:marRight w:val="0"/>
      <w:marTop w:val="0"/>
      <w:marBottom w:val="0"/>
      <w:divBdr>
        <w:top w:val="none" w:sz="0" w:space="0" w:color="auto"/>
        <w:left w:val="none" w:sz="0" w:space="0" w:color="auto"/>
        <w:bottom w:val="none" w:sz="0" w:space="0" w:color="auto"/>
        <w:right w:val="none" w:sz="0" w:space="0" w:color="auto"/>
      </w:divBdr>
      <w:divsChild>
        <w:div w:id="1732801363">
          <w:marLeft w:val="0"/>
          <w:marRight w:val="0"/>
          <w:marTop w:val="0"/>
          <w:marBottom w:val="0"/>
          <w:divBdr>
            <w:top w:val="none" w:sz="0" w:space="0" w:color="auto"/>
            <w:left w:val="none" w:sz="0" w:space="0" w:color="auto"/>
            <w:bottom w:val="none" w:sz="0" w:space="0" w:color="auto"/>
            <w:right w:val="none" w:sz="0" w:space="0" w:color="auto"/>
          </w:divBdr>
        </w:div>
        <w:div w:id="1868177443">
          <w:marLeft w:val="0"/>
          <w:marRight w:val="0"/>
          <w:marTop w:val="0"/>
          <w:marBottom w:val="0"/>
          <w:divBdr>
            <w:top w:val="none" w:sz="0" w:space="0" w:color="auto"/>
            <w:left w:val="none" w:sz="0" w:space="0" w:color="auto"/>
            <w:bottom w:val="none" w:sz="0" w:space="0" w:color="auto"/>
            <w:right w:val="none" w:sz="0" w:space="0" w:color="auto"/>
          </w:divBdr>
        </w:div>
      </w:divsChild>
    </w:div>
    <w:div w:id="1377852524">
      <w:bodyDiv w:val="1"/>
      <w:marLeft w:val="0"/>
      <w:marRight w:val="0"/>
      <w:marTop w:val="0"/>
      <w:marBottom w:val="0"/>
      <w:divBdr>
        <w:top w:val="none" w:sz="0" w:space="0" w:color="auto"/>
        <w:left w:val="none" w:sz="0" w:space="0" w:color="auto"/>
        <w:bottom w:val="none" w:sz="0" w:space="0" w:color="auto"/>
        <w:right w:val="none" w:sz="0" w:space="0" w:color="auto"/>
      </w:divBdr>
    </w:div>
    <w:div w:id="1433015386">
      <w:bodyDiv w:val="1"/>
      <w:marLeft w:val="0"/>
      <w:marRight w:val="0"/>
      <w:marTop w:val="0"/>
      <w:marBottom w:val="0"/>
      <w:divBdr>
        <w:top w:val="none" w:sz="0" w:space="0" w:color="auto"/>
        <w:left w:val="none" w:sz="0" w:space="0" w:color="auto"/>
        <w:bottom w:val="none" w:sz="0" w:space="0" w:color="auto"/>
        <w:right w:val="none" w:sz="0" w:space="0" w:color="auto"/>
      </w:divBdr>
      <w:divsChild>
        <w:div w:id="1934363544">
          <w:marLeft w:val="0"/>
          <w:marRight w:val="0"/>
          <w:marTop w:val="0"/>
          <w:marBottom w:val="0"/>
          <w:divBdr>
            <w:top w:val="none" w:sz="0" w:space="0" w:color="auto"/>
            <w:left w:val="none" w:sz="0" w:space="0" w:color="auto"/>
            <w:bottom w:val="none" w:sz="0" w:space="0" w:color="auto"/>
            <w:right w:val="none" w:sz="0" w:space="0" w:color="auto"/>
          </w:divBdr>
        </w:div>
        <w:div w:id="1949920613">
          <w:marLeft w:val="0"/>
          <w:marRight w:val="0"/>
          <w:marTop w:val="0"/>
          <w:marBottom w:val="0"/>
          <w:divBdr>
            <w:top w:val="none" w:sz="0" w:space="0" w:color="auto"/>
            <w:left w:val="none" w:sz="0" w:space="0" w:color="auto"/>
            <w:bottom w:val="none" w:sz="0" w:space="0" w:color="auto"/>
            <w:right w:val="none" w:sz="0" w:space="0" w:color="auto"/>
          </w:divBdr>
        </w:div>
      </w:divsChild>
    </w:div>
    <w:div w:id="1487939270">
      <w:bodyDiv w:val="1"/>
      <w:marLeft w:val="0"/>
      <w:marRight w:val="0"/>
      <w:marTop w:val="0"/>
      <w:marBottom w:val="0"/>
      <w:divBdr>
        <w:top w:val="none" w:sz="0" w:space="0" w:color="auto"/>
        <w:left w:val="none" w:sz="0" w:space="0" w:color="auto"/>
        <w:bottom w:val="none" w:sz="0" w:space="0" w:color="auto"/>
        <w:right w:val="none" w:sz="0" w:space="0" w:color="auto"/>
      </w:divBdr>
      <w:divsChild>
        <w:div w:id="313142604">
          <w:marLeft w:val="0"/>
          <w:marRight w:val="0"/>
          <w:marTop w:val="0"/>
          <w:marBottom w:val="0"/>
          <w:divBdr>
            <w:top w:val="none" w:sz="0" w:space="0" w:color="auto"/>
            <w:left w:val="none" w:sz="0" w:space="0" w:color="auto"/>
            <w:bottom w:val="none" w:sz="0" w:space="0" w:color="auto"/>
            <w:right w:val="none" w:sz="0" w:space="0" w:color="auto"/>
          </w:divBdr>
        </w:div>
        <w:div w:id="619998243">
          <w:marLeft w:val="0"/>
          <w:marRight w:val="0"/>
          <w:marTop w:val="0"/>
          <w:marBottom w:val="0"/>
          <w:divBdr>
            <w:top w:val="none" w:sz="0" w:space="0" w:color="auto"/>
            <w:left w:val="none" w:sz="0" w:space="0" w:color="auto"/>
            <w:bottom w:val="none" w:sz="0" w:space="0" w:color="auto"/>
            <w:right w:val="none" w:sz="0" w:space="0" w:color="auto"/>
          </w:divBdr>
        </w:div>
        <w:div w:id="2048555171">
          <w:marLeft w:val="0"/>
          <w:marRight w:val="0"/>
          <w:marTop w:val="0"/>
          <w:marBottom w:val="0"/>
          <w:divBdr>
            <w:top w:val="none" w:sz="0" w:space="0" w:color="auto"/>
            <w:left w:val="none" w:sz="0" w:space="0" w:color="auto"/>
            <w:bottom w:val="none" w:sz="0" w:space="0" w:color="auto"/>
            <w:right w:val="none" w:sz="0" w:space="0" w:color="auto"/>
          </w:divBdr>
        </w:div>
      </w:divsChild>
    </w:div>
    <w:div w:id="1522090003">
      <w:bodyDiv w:val="1"/>
      <w:marLeft w:val="0"/>
      <w:marRight w:val="0"/>
      <w:marTop w:val="0"/>
      <w:marBottom w:val="0"/>
      <w:divBdr>
        <w:top w:val="none" w:sz="0" w:space="0" w:color="auto"/>
        <w:left w:val="none" w:sz="0" w:space="0" w:color="auto"/>
        <w:bottom w:val="none" w:sz="0" w:space="0" w:color="auto"/>
        <w:right w:val="none" w:sz="0" w:space="0" w:color="auto"/>
      </w:divBdr>
      <w:divsChild>
        <w:div w:id="633758816">
          <w:marLeft w:val="0"/>
          <w:marRight w:val="0"/>
          <w:marTop w:val="0"/>
          <w:marBottom w:val="0"/>
          <w:divBdr>
            <w:top w:val="none" w:sz="0" w:space="0" w:color="auto"/>
            <w:left w:val="none" w:sz="0" w:space="0" w:color="auto"/>
            <w:bottom w:val="none" w:sz="0" w:space="0" w:color="auto"/>
            <w:right w:val="none" w:sz="0" w:space="0" w:color="auto"/>
          </w:divBdr>
        </w:div>
        <w:div w:id="1251770236">
          <w:marLeft w:val="0"/>
          <w:marRight w:val="0"/>
          <w:marTop w:val="0"/>
          <w:marBottom w:val="0"/>
          <w:divBdr>
            <w:top w:val="none" w:sz="0" w:space="0" w:color="auto"/>
            <w:left w:val="none" w:sz="0" w:space="0" w:color="auto"/>
            <w:bottom w:val="none" w:sz="0" w:space="0" w:color="auto"/>
            <w:right w:val="none" w:sz="0" w:space="0" w:color="auto"/>
          </w:divBdr>
        </w:div>
        <w:div w:id="1383750786">
          <w:marLeft w:val="0"/>
          <w:marRight w:val="0"/>
          <w:marTop w:val="0"/>
          <w:marBottom w:val="0"/>
          <w:divBdr>
            <w:top w:val="none" w:sz="0" w:space="0" w:color="auto"/>
            <w:left w:val="none" w:sz="0" w:space="0" w:color="auto"/>
            <w:bottom w:val="none" w:sz="0" w:space="0" w:color="auto"/>
            <w:right w:val="none" w:sz="0" w:space="0" w:color="auto"/>
          </w:divBdr>
        </w:div>
        <w:div w:id="1395663483">
          <w:marLeft w:val="0"/>
          <w:marRight w:val="0"/>
          <w:marTop w:val="0"/>
          <w:marBottom w:val="0"/>
          <w:divBdr>
            <w:top w:val="none" w:sz="0" w:space="0" w:color="auto"/>
            <w:left w:val="none" w:sz="0" w:space="0" w:color="auto"/>
            <w:bottom w:val="none" w:sz="0" w:space="0" w:color="auto"/>
            <w:right w:val="none" w:sz="0" w:space="0" w:color="auto"/>
          </w:divBdr>
        </w:div>
        <w:div w:id="1478719873">
          <w:marLeft w:val="0"/>
          <w:marRight w:val="0"/>
          <w:marTop w:val="0"/>
          <w:marBottom w:val="0"/>
          <w:divBdr>
            <w:top w:val="none" w:sz="0" w:space="0" w:color="auto"/>
            <w:left w:val="none" w:sz="0" w:space="0" w:color="auto"/>
            <w:bottom w:val="none" w:sz="0" w:space="0" w:color="auto"/>
            <w:right w:val="none" w:sz="0" w:space="0" w:color="auto"/>
          </w:divBdr>
        </w:div>
        <w:div w:id="1535852429">
          <w:marLeft w:val="0"/>
          <w:marRight w:val="0"/>
          <w:marTop w:val="0"/>
          <w:marBottom w:val="0"/>
          <w:divBdr>
            <w:top w:val="none" w:sz="0" w:space="0" w:color="auto"/>
            <w:left w:val="none" w:sz="0" w:space="0" w:color="auto"/>
            <w:bottom w:val="none" w:sz="0" w:space="0" w:color="auto"/>
            <w:right w:val="none" w:sz="0" w:space="0" w:color="auto"/>
          </w:divBdr>
        </w:div>
        <w:div w:id="1728454587">
          <w:marLeft w:val="0"/>
          <w:marRight w:val="0"/>
          <w:marTop w:val="0"/>
          <w:marBottom w:val="0"/>
          <w:divBdr>
            <w:top w:val="none" w:sz="0" w:space="0" w:color="auto"/>
            <w:left w:val="none" w:sz="0" w:space="0" w:color="auto"/>
            <w:bottom w:val="none" w:sz="0" w:space="0" w:color="auto"/>
            <w:right w:val="none" w:sz="0" w:space="0" w:color="auto"/>
          </w:divBdr>
        </w:div>
        <w:div w:id="1962413329">
          <w:marLeft w:val="0"/>
          <w:marRight w:val="0"/>
          <w:marTop w:val="0"/>
          <w:marBottom w:val="0"/>
          <w:divBdr>
            <w:top w:val="none" w:sz="0" w:space="0" w:color="auto"/>
            <w:left w:val="none" w:sz="0" w:space="0" w:color="auto"/>
            <w:bottom w:val="none" w:sz="0" w:space="0" w:color="auto"/>
            <w:right w:val="none" w:sz="0" w:space="0" w:color="auto"/>
          </w:divBdr>
        </w:div>
        <w:div w:id="2008634750">
          <w:marLeft w:val="0"/>
          <w:marRight w:val="0"/>
          <w:marTop w:val="0"/>
          <w:marBottom w:val="0"/>
          <w:divBdr>
            <w:top w:val="none" w:sz="0" w:space="0" w:color="auto"/>
            <w:left w:val="none" w:sz="0" w:space="0" w:color="auto"/>
            <w:bottom w:val="none" w:sz="0" w:space="0" w:color="auto"/>
            <w:right w:val="none" w:sz="0" w:space="0" w:color="auto"/>
          </w:divBdr>
        </w:div>
        <w:div w:id="2021933476">
          <w:marLeft w:val="0"/>
          <w:marRight w:val="0"/>
          <w:marTop w:val="0"/>
          <w:marBottom w:val="0"/>
          <w:divBdr>
            <w:top w:val="none" w:sz="0" w:space="0" w:color="auto"/>
            <w:left w:val="none" w:sz="0" w:space="0" w:color="auto"/>
            <w:bottom w:val="none" w:sz="0" w:space="0" w:color="auto"/>
            <w:right w:val="none" w:sz="0" w:space="0" w:color="auto"/>
          </w:divBdr>
        </w:div>
      </w:divsChild>
    </w:div>
    <w:div w:id="1531801651">
      <w:bodyDiv w:val="1"/>
      <w:marLeft w:val="0"/>
      <w:marRight w:val="0"/>
      <w:marTop w:val="0"/>
      <w:marBottom w:val="0"/>
      <w:divBdr>
        <w:top w:val="none" w:sz="0" w:space="0" w:color="auto"/>
        <w:left w:val="none" w:sz="0" w:space="0" w:color="auto"/>
        <w:bottom w:val="none" w:sz="0" w:space="0" w:color="auto"/>
        <w:right w:val="none" w:sz="0" w:space="0" w:color="auto"/>
      </w:divBdr>
    </w:div>
    <w:div w:id="1579627953">
      <w:bodyDiv w:val="1"/>
      <w:marLeft w:val="0"/>
      <w:marRight w:val="0"/>
      <w:marTop w:val="0"/>
      <w:marBottom w:val="0"/>
      <w:divBdr>
        <w:top w:val="none" w:sz="0" w:space="0" w:color="auto"/>
        <w:left w:val="none" w:sz="0" w:space="0" w:color="auto"/>
        <w:bottom w:val="none" w:sz="0" w:space="0" w:color="auto"/>
        <w:right w:val="none" w:sz="0" w:space="0" w:color="auto"/>
      </w:divBdr>
      <w:divsChild>
        <w:div w:id="826433412">
          <w:marLeft w:val="0"/>
          <w:marRight w:val="0"/>
          <w:marTop w:val="0"/>
          <w:marBottom w:val="0"/>
          <w:divBdr>
            <w:top w:val="none" w:sz="0" w:space="0" w:color="auto"/>
            <w:left w:val="none" w:sz="0" w:space="0" w:color="auto"/>
            <w:bottom w:val="none" w:sz="0" w:space="0" w:color="auto"/>
            <w:right w:val="none" w:sz="0" w:space="0" w:color="auto"/>
          </w:divBdr>
        </w:div>
        <w:div w:id="951474163">
          <w:marLeft w:val="0"/>
          <w:marRight w:val="0"/>
          <w:marTop w:val="0"/>
          <w:marBottom w:val="0"/>
          <w:divBdr>
            <w:top w:val="none" w:sz="0" w:space="0" w:color="auto"/>
            <w:left w:val="none" w:sz="0" w:space="0" w:color="auto"/>
            <w:bottom w:val="none" w:sz="0" w:space="0" w:color="auto"/>
            <w:right w:val="none" w:sz="0" w:space="0" w:color="auto"/>
          </w:divBdr>
        </w:div>
        <w:div w:id="1967002648">
          <w:marLeft w:val="0"/>
          <w:marRight w:val="0"/>
          <w:marTop w:val="0"/>
          <w:marBottom w:val="0"/>
          <w:divBdr>
            <w:top w:val="none" w:sz="0" w:space="0" w:color="auto"/>
            <w:left w:val="none" w:sz="0" w:space="0" w:color="auto"/>
            <w:bottom w:val="none" w:sz="0" w:space="0" w:color="auto"/>
            <w:right w:val="none" w:sz="0" w:space="0" w:color="auto"/>
          </w:divBdr>
        </w:div>
      </w:divsChild>
    </w:div>
    <w:div w:id="1702051969">
      <w:bodyDiv w:val="1"/>
      <w:marLeft w:val="0"/>
      <w:marRight w:val="0"/>
      <w:marTop w:val="0"/>
      <w:marBottom w:val="0"/>
      <w:divBdr>
        <w:top w:val="none" w:sz="0" w:space="0" w:color="auto"/>
        <w:left w:val="none" w:sz="0" w:space="0" w:color="auto"/>
        <w:bottom w:val="none" w:sz="0" w:space="0" w:color="auto"/>
        <w:right w:val="none" w:sz="0" w:space="0" w:color="auto"/>
      </w:divBdr>
      <w:divsChild>
        <w:div w:id="1530945816">
          <w:marLeft w:val="0"/>
          <w:marRight w:val="0"/>
          <w:marTop w:val="0"/>
          <w:marBottom w:val="0"/>
          <w:divBdr>
            <w:top w:val="none" w:sz="0" w:space="0" w:color="auto"/>
            <w:left w:val="none" w:sz="0" w:space="0" w:color="auto"/>
            <w:bottom w:val="none" w:sz="0" w:space="0" w:color="auto"/>
            <w:right w:val="none" w:sz="0" w:space="0" w:color="auto"/>
          </w:divBdr>
        </w:div>
        <w:div w:id="1802110686">
          <w:marLeft w:val="0"/>
          <w:marRight w:val="0"/>
          <w:marTop w:val="0"/>
          <w:marBottom w:val="0"/>
          <w:divBdr>
            <w:top w:val="none" w:sz="0" w:space="0" w:color="auto"/>
            <w:left w:val="none" w:sz="0" w:space="0" w:color="auto"/>
            <w:bottom w:val="none" w:sz="0" w:space="0" w:color="auto"/>
            <w:right w:val="none" w:sz="0" w:space="0" w:color="auto"/>
          </w:divBdr>
        </w:div>
        <w:div w:id="1926110009">
          <w:marLeft w:val="0"/>
          <w:marRight w:val="0"/>
          <w:marTop w:val="0"/>
          <w:marBottom w:val="0"/>
          <w:divBdr>
            <w:top w:val="none" w:sz="0" w:space="0" w:color="auto"/>
            <w:left w:val="none" w:sz="0" w:space="0" w:color="auto"/>
            <w:bottom w:val="none" w:sz="0" w:space="0" w:color="auto"/>
            <w:right w:val="none" w:sz="0" w:space="0" w:color="auto"/>
          </w:divBdr>
        </w:div>
      </w:divsChild>
    </w:div>
    <w:div w:id="1775976493">
      <w:bodyDiv w:val="1"/>
      <w:marLeft w:val="0"/>
      <w:marRight w:val="0"/>
      <w:marTop w:val="0"/>
      <w:marBottom w:val="0"/>
      <w:divBdr>
        <w:top w:val="none" w:sz="0" w:space="0" w:color="auto"/>
        <w:left w:val="none" w:sz="0" w:space="0" w:color="auto"/>
        <w:bottom w:val="none" w:sz="0" w:space="0" w:color="auto"/>
        <w:right w:val="none" w:sz="0" w:space="0" w:color="auto"/>
      </w:divBdr>
    </w:div>
    <w:div w:id="1793943230">
      <w:bodyDiv w:val="1"/>
      <w:marLeft w:val="0"/>
      <w:marRight w:val="0"/>
      <w:marTop w:val="0"/>
      <w:marBottom w:val="0"/>
      <w:divBdr>
        <w:top w:val="none" w:sz="0" w:space="0" w:color="auto"/>
        <w:left w:val="none" w:sz="0" w:space="0" w:color="auto"/>
        <w:bottom w:val="none" w:sz="0" w:space="0" w:color="auto"/>
        <w:right w:val="none" w:sz="0" w:space="0" w:color="auto"/>
      </w:divBdr>
      <w:divsChild>
        <w:div w:id="62682446">
          <w:marLeft w:val="0"/>
          <w:marRight w:val="0"/>
          <w:marTop w:val="0"/>
          <w:marBottom w:val="0"/>
          <w:divBdr>
            <w:top w:val="none" w:sz="0" w:space="0" w:color="auto"/>
            <w:left w:val="none" w:sz="0" w:space="0" w:color="auto"/>
            <w:bottom w:val="none" w:sz="0" w:space="0" w:color="auto"/>
            <w:right w:val="none" w:sz="0" w:space="0" w:color="auto"/>
          </w:divBdr>
        </w:div>
        <w:div w:id="891884152">
          <w:marLeft w:val="0"/>
          <w:marRight w:val="0"/>
          <w:marTop w:val="0"/>
          <w:marBottom w:val="0"/>
          <w:divBdr>
            <w:top w:val="none" w:sz="0" w:space="0" w:color="auto"/>
            <w:left w:val="none" w:sz="0" w:space="0" w:color="auto"/>
            <w:bottom w:val="none" w:sz="0" w:space="0" w:color="auto"/>
            <w:right w:val="none" w:sz="0" w:space="0" w:color="auto"/>
          </w:divBdr>
        </w:div>
      </w:divsChild>
    </w:div>
    <w:div w:id="1898861739">
      <w:bodyDiv w:val="1"/>
      <w:marLeft w:val="0"/>
      <w:marRight w:val="0"/>
      <w:marTop w:val="0"/>
      <w:marBottom w:val="0"/>
      <w:divBdr>
        <w:top w:val="none" w:sz="0" w:space="0" w:color="auto"/>
        <w:left w:val="none" w:sz="0" w:space="0" w:color="auto"/>
        <w:bottom w:val="none" w:sz="0" w:space="0" w:color="auto"/>
        <w:right w:val="none" w:sz="0" w:space="0" w:color="auto"/>
      </w:divBdr>
      <w:divsChild>
        <w:div w:id="532381082">
          <w:marLeft w:val="0"/>
          <w:marRight w:val="0"/>
          <w:marTop w:val="0"/>
          <w:marBottom w:val="0"/>
          <w:divBdr>
            <w:top w:val="none" w:sz="0" w:space="0" w:color="auto"/>
            <w:left w:val="none" w:sz="0" w:space="0" w:color="auto"/>
            <w:bottom w:val="none" w:sz="0" w:space="0" w:color="auto"/>
            <w:right w:val="none" w:sz="0" w:space="0" w:color="auto"/>
          </w:divBdr>
        </w:div>
        <w:div w:id="786197619">
          <w:marLeft w:val="0"/>
          <w:marRight w:val="0"/>
          <w:marTop w:val="0"/>
          <w:marBottom w:val="0"/>
          <w:divBdr>
            <w:top w:val="none" w:sz="0" w:space="0" w:color="auto"/>
            <w:left w:val="none" w:sz="0" w:space="0" w:color="auto"/>
            <w:bottom w:val="none" w:sz="0" w:space="0" w:color="auto"/>
            <w:right w:val="none" w:sz="0" w:space="0" w:color="auto"/>
          </w:divBdr>
        </w:div>
        <w:div w:id="883950885">
          <w:marLeft w:val="0"/>
          <w:marRight w:val="0"/>
          <w:marTop w:val="0"/>
          <w:marBottom w:val="0"/>
          <w:divBdr>
            <w:top w:val="none" w:sz="0" w:space="0" w:color="auto"/>
            <w:left w:val="none" w:sz="0" w:space="0" w:color="auto"/>
            <w:bottom w:val="none" w:sz="0" w:space="0" w:color="auto"/>
            <w:right w:val="none" w:sz="0" w:space="0" w:color="auto"/>
          </w:divBdr>
        </w:div>
        <w:div w:id="1568029937">
          <w:marLeft w:val="0"/>
          <w:marRight w:val="0"/>
          <w:marTop w:val="0"/>
          <w:marBottom w:val="0"/>
          <w:divBdr>
            <w:top w:val="none" w:sz="0" w:space="0" w:color="auto"/>
            <w:left w:val="none" w:sz="0" w:space="0" w:color="auto"/>
            <w:bottom w:val="none" w:sz="0" w:space="0" w:color="auto"/>
            <w:right w:val="none" w:sz="0" w:space="0" w:color="auto"/>
          </w:divBdr>
        </w:div>
        <w:div w:id="2046439972">
          <w:marLeft w:val="0"/>
          <w:marRight w:val="0"/>
          <w:marTop w:val="0"/>
          <w:marBottom w:val="0"/>
          <w:divBdr>
            <w:top w:val="none" w:sz="0" w:space="0" w:color="auto"/>
            <w:left w:val="none" w:sz="0" w:space="0" w:color="auto"/>
            <w:bottom w:val="none" w:sz="0" w:space="0" w:color="auto"/>
            <w:right w:val="none" w:sz="0" w:space="0" w:color="auto"/>
          </w:divBdr>
        </w:div>
      </w:divsChild>
    </w:div>
    <w:div w:id="2115858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317557" TargetMode="External"/><Relationship Id="rId18" Type="http://schemas.openxmlformats.org/officeDocument/2006/relationships/hyperlink" Target="https://likumi.lv/ta/id/258477-alternativo-ieguldijumu-fondu-un-to-parvaldnieku-likums" TargetMode="External"/><Relationship Id="rId26" Type="http://schemas.openxmlformats.org/officeDocument/2006/relationships/hyperlink" Target="https://likumi.lv/ta/id/52953-ieguldijumu-parvaldes-sabiedribu-likums" TargetMode="External"/><Relationship Id="rId3" Type="http://schemas.openxmlformats.org/officeDocument/2006/relationships/styles" Target="styles.xml"/><Relationship Id="rId21" Type="http://schemas.openxmlformats.org/officeDocument/2006/relationships/hyperlink" Target="https://likumi.lv/ta/id/52953-ieguldijumu-parvaldes-sabiedribu-likums"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likumi.lv/ta/id/317557" TargetMode="External"/><Relationship Id="rId17" Type="http://schemas.openxmlformats.org/officeDocument/2006/relationships/hyperlink" Target="https://likumi.lv/ta/id/52953-ieguldijumu-parvaldes-sabiedribu-likums" TargetMode="External"/><Relationship Id="rId25" Type="http://schemas.openxmlformats.org/officeDocument/2006/relationships/hyperlink" Target="https://likumi.lv/ta/id/258477-alternativo-ieguldijumu-fondu-un-to-parvaldnieku-likum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kumi.lv/ta/id/52953-ieguldijumu-parvaldes-sabiedribu-likums" TargetMode="External"/><Relationship Id="rId20" Type="http://schemas.openxmlformats.org/officeDocument/2006/relationships/hyperlink" Target="https://likumi.lv/ta/id/52953-ieguldijumu-parvaldes-sabiedribu-likums" TargetMode="External"/><Relationship Id="rId29" Type="http://schemas.openxmlformats.org/officeDocument/2006/relationships/hyperlink" Target="https://likumi.lv/ta/id/81995-finansu-instrumentu-tirgus-liku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2953-ieguldijumu-parvaldes-sabiedribu-likums" TargetMode="External"/><Relationship Id="rId24" Type="http://schemas.openxmlformats.org/officeDocument/2006/relationships/hyperlink" Target="https://likumi.lv/ta/id/258477-alternativo-ieguldijumu-fondu-un-to-parvaldnieku-likums"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ikumi.lv/ta/id/258477-alternativo-ieguldijumu-fondu-un-to-parvaldnieku-likums" TargetMode="External"/><Relationship Id="rId23" Type="http://schemas.openxmlformats.org/officeDocument/2006/relationships/hyperlink" Target="https://likumi.lv/ta/id/52953-ieguldijumu-parvaldes-sabiedribu-likums" TargetMode="External"/><Relationship Id="rId28" Type="http://schemas.openxmlformats.org/officeDocument/2006/relationships/hyperlink" Target="https://likumi.lv/ta/id/37426-kreditiestazu-likums" TargetMode="External"/><Relationship Id="rId10" Type="http://schemas.openxmlformats.org/officeDocument/2006/relationships/hyperlink" Target="https://likumi.lv/ta/id/258477-alternativo-ieguldijumu-fondu-un-to-parvaldnieku-likums" TargetMode="External"/><Relationship Id="rId19" Type="http://schemas.openxmlformats.org/officeDocument/2006/relationships/hyperlink" Target="https://likumi.lv/ta/id/258477-alternativo-ieguldijumu-fondu-un-to-parvaldnieku-likum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ikumi.lv/ta/id/52953" TargetMode="External"/><Relationship Id="rId14" Type="http://schemas.openxmlformats.org/officeDocument/2006/relationships/hyperlink" Target="https://likumi.lv/ta/id/258477-alternativo-ieguldijumu-fondu-un-to-parvaldnieku-likums" TargetMode="External"/><Relationship Id="rId22" Type="http://schemas.openxmlformats.org/officeDocument/2006/relationships/hyperlink" Target="https://likumi.lv/ta/id/52953-ieguldijumu-parvaldes-sabiedribu-likums" TargetMode="External"/><Relationship Id="rId27" Type="http://schemas.openxmlformats.org/officeDocument/2006/relationships/hyperlink" Target="https://likumi.lv/ta/id/258477-alternativo-ieguldijumu-fondu-un-to-parvaldnieku-likums"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likumi.lv/ta/id/2584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825AE357F141DA826325C94A7DB109"/>
        <w:category>
          <w:name w:val="General"/>
          <w:gallery w:val="placeholder"/>
        </w:category>
        <w:types>
          <w:type w:val="bbPlcHdr"/>
        </w:types>
        <w:behaviors>
          <w:behavior w:val="content"/>
        </w:behaviors>
        <w:guid w:val="{270506CB-00A8-4487-AD17-ACC3B5768642}"/>
      </w:docPartPr>
      <w:docPartBody>
        <w:p w:rsidR="00B54815" w:rsidRDefault="00B54815">
          <w:pPr>
            <w:pStyle w:val="38825AE357F141DA826325C94A7DB109"/>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C062199D1294741A75A59B5A2C0CAB1"/>
        <w:category>
          <w:name w:val="General"/>
          <w:gallery w:val="placeholder"/>
        </w:category>
        <w:types>
          <w:type w:val="bbPlcHdr"/>
        </w:types>
        <w:behaviors>
          <w:behavior w:val="content"/>
        </w:behaviors>
        <w:guid w:val="{4AA5CC30-3233-4F37-9297-57F96CDD9CE8}"/>
      </w:docPartPr>
      <w:docPartBody>
        <w:p w:rsidR="00B54815" w:rsidRDefault="00B54815">
          <w:pPr>
            <w:pStyle w:val="7C062199D1294741A75A59B5A2C0CAB1"/>
          </w:pPr>
          <w:r w:rsidRPr="00811BE5">
            <w:rPr>
              <w:color w:val="808080" w:themeColor="background1" w:themeShade="80"/>
            </w:rPr>
            <w:t>[Datums]</w:t>
          </w:r>
        </w:p>
      </w:docPartBody>
    </w:docPart>
    <w:docPart>
      <w:docPartPr>
        <w:name w:val="3CC6D5A87AEB4202880FFC912594CCE4"/>
        <w:category>
          <w:name w:val="General"/>
          <w:gallery w:val="placeholder"/>
        </w:category>
        <w:types>
          <w:type w:val="bbPlcHdr"/>
        </w:types>
        <w:behaviors>
          <w:behavior w:val="content"/>
        </w:behaviors>
        <w:guid w:val="{A34666A0-DE1F-47BE-AE81-DBFE0FA5F1B4}"/>
      </w:docPartPr>
      <w:docPartBody>
        <w:p w:rsidR="00B54815" w:rsidRDefault="00B54815">
          <w:pPr>
            <w:pStyle w:val="3CC6D5A87AEB4202880FFC912594CCE4"/>
          </w:pPr>
          <w:r>
            <w:t xml:space="preserve">Noteikumi </w:t>
          </w:r>
        </w:p>
      </w:docPartBody>
    </w:docPart>
    <w:docPart>
      <w:docPartPr>
        <w:name w:val="0BF8AD24C5564DAFB2D3F4D3C52040ED"/>
        <w:category>
          <w:name w:val="General"/>
          <w:gallery w:val="placeholder"/>
        </w:category>
        <w:types>
          <w:type w:val="bbPlcHdr"/>
        </w:types>
        <w:behaviors>
          <w:behavior w:val="content"/>
        </w:behaviors>
        <w:guid w:val="{A781C2D2-923D-45A0-BF0B-10796EF3CFBA}"/>
      </w:docPartPr>
      <w:docPartBody>
        <w:p w:rsidR="00B54815" w:rsidRDefault="00B54815">
          <w:pPr>
            <w:pStyle w:val="0BF8AD24C5564DAFB2D3F4D3C52040ED"/>
          </w:pPr>
          <w:r>
            <w:t xml:space="preserve">Nr. </w:t>
          </w:r>
        </w:p>
      </w:docPartBody>
    </w:docPart>
    <w:docPart>
      <w:docPartPr>
        <w:name w:val="E2E1A397DF2C4348A98B0CA2452F88D8"/>
        <w:category>
          <w:name w:val="General"/>
          <w:gallery w:val="placeholder"/>
        </w:category>
        <w:types>
          <w:type w:val="bbPlcHdr"/>
        </w:types>
        <w:behaviors>
          <w:behavior w:val="content"/>
        </w:behaviors>
        <w:guid w:val="{AB2B0E71-E40B-46DE-A54B-047C1B9AD2CA}"/>
      </w:docPartPr>
      <w:docPartBody>
        <w:p w:rsidR="00B54815" w:rsidRDefault="00B54815">
          <w:pPr>
            <w:pStyle w:val="E2E1A397DF2C4348A98B0CA2452F88D8"/>
          </w:pPr>
          <w:r>
            <w:t>_____</w:t>
          </w:r>
        </w:p>
      </w:docPartBody>
    </w:docPart>
    <w:docPart>
      <w:docPartPr>
        <w:name w:val="BF5DE37566DD4B3A9D53214DD0C6848E"/>
        <w:category>
          <w:name w:val="General"/>
          <w:gallery w:val="placeholder"/>
        </w:category>
        <w:types>
          <w:type w:val="bbPlcHdr"/>
        </w:types>
        <w:behaviors>
          <w:behavior w:val="content"/>
        </w:behaviors>
        <w:guid w:val="{FFC52544-087E-4D4F-8FDD-31A25F7CCDDD}"/>
      </w:docPartPr>
      <w:docPartBody>
        <w:p w:rsidR="00B54815" w:rsidRDefault="00B54815">
          <w:pPr>
            <w:pStyle w:val="BF5DE37566DD4B3A9D53214DD0C6848E"/>
          </w:pPr>
          <w:r>
            <w:rPr>
              <w:rFonts w:cs="Times New Roman"/>
            </w:rPr>
            <w:t>Rīgā</w:t>
          </w:r>
        </w:p>
      </w:docPartBody>
    </w:docPart>
    <w:docPart>
      <w:docPartPr>
        <w:name w:val="8C01BBFC5B17433C869244EDDAD1ECCF"/>
        <w:category>
          <w:name w:val="General"/>
          <w:gallery w:val="placeholder"/>
        </w:category>
        <w:types>
          <w:type w:val="bbPlcHdr"/>
        </w:types>
        <w:behaviors>
          <w:behavior w:val="content"/>
        </w:behaviors>
        <w:guid w:val="{E25716D9-0A6D-4B0C-9DCE-0E33055668FD}"/>
      </w:docPartPr>
      <w:docPartBody>
        <w:p w:rsidR="00B54815" w:rsidRDefault="00B54815">
          <w:pPr>
            <w:pStyle w:val="8C01BBFC5B17433C869244EDDAD1ECCF"/>
          </w:pPr>
          <w:r w:rsidRPr="00F5647B">
            <w:rPr>
              <w:rStyle w:val="PlaceholderText"/>
              <w:b/>
            </w:rPr>
            <w:t>[Nosaukums]</w:t>
          </w:r>
        </w:p>
      </w:docPartBody>
    </w:docPart>
    <w:docPart>
      <w:docPartPr>
        <w:name w:val="841EE5B51BDB47139D6D63A41ED17CBE"/>
        <w:category>
          <w:name w:val="General"/>
          <w:gallery w:val="placeholder"/>
        </w:category>
        <w:types>
          <w:type w:val="bbPlcHdr"/>
        </w:types>
        <w:behaviors>
          <w:behavior w:val="content"/>
        </w:behaviors>
        <w:guid w:val="{F7646A57-C046-4BFF-9569-8FC3FF2CC0CD}"/>
      </w:docPartPr>
      <w:docPartBody>
        <w:p w:rsidR="00B54815" w:rsidRDefault="00B54815">
          <w:pPr>
            <w:pStyle w:val="841EE5B51BDB47139D6D63A41ED17CBE"/>
          </w:pPr>
          <w:r>
            <w:rPr>
              <w:rFonts w:cs="Times New Roman"/>
            </w:rPr>
            <w:t xml:space="preserve">Izdoti </w:t>
          </w:r>
        </w:p>
      </w:docPartBody>
    </w:docPart>
    <w:docPart>
      <w:docPartPr>
        <w:name w:val="7DBA5A6257064C8FAF44CE02CF44F30F"/>
        <w:category>
          <w:name w:val="General"/>
          <w:gallery w:val="placeholder"/>
        </w:category>
        <w:types>
          <w:type w:val="bbPlcHdr"/>
        </w:types>
        <w:behaviors>
          <w:behavior w:val="content"/>
        </w:behaviors>
        <w:guid w:val="{83D7B548-1D26-4DEB-B1AE-68C35AFCC3AF}"/>
      </w:docPartPr>
      <w:docPartBody>
        <w:p w:rsidR="00B54815" w:rsidRDefault="00B54815">
          <w:pPr>
            <w:pStyle w:val="7DBA5A6257064C8FAF44CE02CF44F30F"/>
          </w:pPr>
          <w:r>
            <w:rPr>
              <w:rFonts w:cs="Times New Roman"/>
            </w:rPr>
            <w:t>saskaņā ar</w:t>
          </w:r>
        </w:p>
      </w:docPartBody>
    </w:docPart>
    <w:docPart>
      <w:docPartPr>
        <w:name w:val="1BA0230B88E04E379AED5829129900EC"/>
        <w:category>
          <w:name w:val="General"/>
          <w:gallery w:val="placeholder"/>
        </w:category>
        <w:types>
          <w:type w:val="bbPlcHdr"/>
        </w:types>
        <w:behaviors>
          <w:behavior w:val="content"/>
        </w:behaviors>
        <w:guid w:val="{433C5F37-9B7F-42E1-ABFC-0DC3891019E8}"/>
      </w:docPartPr>
      <w:docPartBody>
        <w:p w:rsidR="00B54815" w:rsidRDefault="00B54815">
          <w:pPr>
            <w:pStyle w:val="1BA0230B88E04E379AED5829129900EC"/>
          </w:pPr>
          <w:r w:rsidRPr="00301089">
            <w:rPr>
              <w:rStyle w:val="PlaceholderText"/>
            </w:rPr>
            <w:t>[likuma]</w:t>
          </w:r>
        </w:p>
      </w:docPartBody>
    </w:docPart>
    <w:docPart>
      <w:docPartPr>
        <w:name w:val="30E70B1A0BFF41B496E24FEF178FE2C1"/>
        <w:category>
          <w:name w:val="General"/>
          <w:gallery w:val="placeholder"/>
        </w:category>
        <w:types>
          <w:type w:val="bbPlcHdr"/>
        </w:types>
        <w:behaviors>
          <w:behavior w:val="content"/>
        </w:behaviors>
        <w:guid w:val="{F6E2B048-F2C2-4670-B697-9CC2DCC78BF5}"/>
      </w:docPartPr>
      <w:docPartBody>
        <w:p w:rsidR="00B54815" w:rsidRDefault="00B54815">
          <w:pPr>
            <w:pStyle w:val="30E70B1A0BFF41B496E24FEF178FE2C1"/>
          </w:pPr>
          <w:r>
            <w:rPr>
              <w:rFonts w:ascii="Times New Roman" w:hAnsi="Times New Roman" w:cs="Times New Roman"/>
            </w:rPr>
            <w:t>{amats}</w:t>
          </w:r>
        </w:p>
      </w:docPartBody>
    </w:docPart>
    <w:docPart>
      <w:docPartPr>
        <w:name w:val="97F5716F2F874A57A01D1121724359ED"/>
        <w:category>
          <w:name w:val="General"/>
          <w:gallery w:val="placeholder"/>
        </w:category>
        <w:types>
          <w:type w:val="bbPlcHdr"/>
        </w:types>
        <w:behaviors>
          <w:behavior w:val="content"/>
        </w:behaviors>
        <w:guid w:val="{0380F257-38E3-494E-A3B7-244409E8FA37}"/>
      </w:docPartPr>
      <w:docPartBody>
        <w:p w:rsidR="00B54815" w:rsidRDefault="00B54815">
          <w:pPr>
            <w:pStyle w:val="97F5716F2F874A57A01D1121724359ED"/>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815"/>
    <w:rsid w:val="000120CB"/>
    <w:rsid w:val="00096928"/>
    <w:rsid w:val="000B3677"/>
    <w:rsid w:val="0011119D"/>
    <w:rsid w:val="001226EB"/>
    <w:rsid w:val="00171880"/>
    <w:rsid w:val="00243017"/>
    <w:rsid w:val="004107A1"/>
    <w:rsid w:val="00497A72"/>
    <w:rsid w:val="004B04B3"/>
    <w:rsid w:val="004C6CAA"/>
    <w:rsid w:val="00582432"/>
    <w:rsid w:val="005B1AEE"/>
    <w:rsid w:val="005D2F2A"/>
    <w:rsid w:val="006E5360"/>
    <w:rsid w:val="00700468"/>
    <w:rsid w:val="00721271"/>
    <w:rsid w:val="00913A4E"/>
    <w:rsid w:val="00B54815"/>
    <w:rsid w:val="00BB3138"/>
    <w:rsid w:val="00EA5F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825AE357F141DA826325C94A7DB109">
    <w:name w:val="38825AE357F141DA826325C94A7DB109"/>
  </w:style>
  <w:style w:type="paragraph" w:customStyle="1" w:styleId="7C062199D1294741A75A59B5A2C0CAB1">
    <w:name w:val="7C062199D1294741A75A59B5A2C0CAB1"/>
  </w:style>
  <w:style w:type="paragraph" w:customStyle="1" w:styleId="3CC6D5A87AEB4202880FFC912594CCE4">
    <w:name w:val="3CC6D5A87AEB4202880FFC912594CCE4"/>
  </w:style>
  <w:style w:type="paragraph" w:customStyle="1" w:styleId="0BF8AD24C5564DAFB2D3F4D3C52040ED">
    <w:name w:val="0BF8AD24C5564DAFB2D3F4D3C52040ED"/>
  </w:style>
  <w:style w:type="paragraph" w:customStyle="1" w:styleId="E2E1A397DF2C4348A98B0CA2452F88D8">
    <w:name w:val="E2E1A397DF2C4348A98B0CA2452F88D8"/>
  </w:style>
  <w:style w:type="paragraph" w:customStyle="1" w:styleId="BF5DE37566DD4B3A9D53214DD0C6848E">
    <w:name w:val="BF5DE37566DD4B3A9D53214DD0C6848E"/>
  </w:style>
  <w:style w:type="character" w:styleId="PlaceholderText">
    <w:name w:val="Placeholder Text"/>
    <w:basedOn w:val="DefaultParagraphFont"/>
    <w:uiPriority w:val="99"/>
    <w:semiHidden/>
    <w:rPr>
      <w:color w:val="808080"/>
    </w:rPr>
  </w:style>
  <w:style w:type="paragraph" w:customStyle="1" w:styleId="8C01BBFC5B17433C869244EDDAD1ECCF">
    <w:name w:val="8C01BBFC5B17433C869244EDDAD1ECCF"/>
  </w:style>
  <w:style w:type="paragraph" w:customStyle="1" w:styleId="841EE5B51BDB47139D6D63A41ED17CBE">
    <w:name w:val="841EE5B51BDB47139D6D63A41ED17CBE"/>
  </w:style>
  <w:style w:type="paragraph" w:customStyle="1" w:styleId="7DBA5A6257064C8FAF44CE02CF44F30F">
    <w:name w:val="7DBA5A6257064C8FAF44CE02CF44F30F"/>
  </w:style>
  <w:style w:type="paragraph" w:customStyle="1" w:styleId="1BA0230B88E04E379AED5829129900EC">
    <w:name w:val="1BA0230B88E04E379AED5829129900EC"/>
  </w:style>
  <w:style w:type="paragraph" w:customStyle="1" w:styleId="30E70B1A0BFF41B496E24FEF178FE2C1">
    <w:name w:val="30E70B1A0BFF41B496E24FEF178FE2C1"/>
  </w:style>
  <w:style w:type="paragraph" w:customStyle="1" w:styleId="97F5716F2F874A57A01D1121724359ED">
    <w:name w:val="97F5716F2F874A57A01D112172435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8</TotalTime>
  <Pages>10</Pages>
  <Words>21764</Words>
  <Characters>12407</Characters>
  <Application>Microsoft Office Word</Application>
  <DocSecurity>0</DocSecurity>
  <Lines>103</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cp:lastPrinted>2024-08-21T13:52:00Z</cp:lastPrinted>
  <dcterms:created xsi:type="dcterms:W3CDTF">2024-09-20T13:29:00Z</dcterms:created>
  <dcterms:modified xsi:type="dcterms:W3CDTF">2024-09-23T05:18:00Z</dcterms:modified>
</cp:coreProperties>
</file>