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18F16D87" w:rsidR="006C3828" w:rsidRPr="00894D21" w:rsidRDefault="006C3828" w:rsidP="00B917A7">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r w:rsidR="00BF3F58" w:rsidRPr="00BF3F58">
        <w:rPr>
          <w:rFonts w:ascii="Times New Roman" w:hAnsi="Times New Roman" w:cs="Times New Roman"/>
          <w:b/>
          <w:bCs/>
          <w:sz w:val="24"/>
          <w:szCs w:val="24"/>
        </w:rPr>
        <w:t xml:space="preserve">Apdrošinātāju un </w:t>
      </w:r>
      <w:proofErr w:type="spellStart"/>
      <w:r w:rsidR="00BF3F58" w:rsidRPr="00BF3F58">
        <w:rPr>
          <w:rFonts w:ascii="Times New Roman" w:hAnsi="Times New Roman" w:cs="Times New Roman"/>
          <w:b/>
          <w:bCs/>
          <w:sz w:val="24"/>
          <w:szCs w:val="24"/>
        </w:rPr>
        <w:t>pārapdrošinātāju</w:t>
      </w:r>
      <w:proofErr w:type="spellEnd"/>
      <w:r w:rsidR="00BF3F58" w:rsidRPr="00BF3F58">
        <w:rPr>
          <w:rFonts w:ascii="Times New Roman" w:hAnsi="Times New Roman" w:cs="Times New Roman"/>
          <w:b/>
          <w:bCs/>
          <w:sz w:val="24"/>
          <w:szCs w:val="24"/>
        </w:rPr>
        <w:t xml:space="preserve"> pārskatu sagatavošanas noteikumi</w:t>
      </w:r>
      <w:r w:rsidRPr="00894D21">
        <w:rPr>
          <w:rFonts w:ascii="Times New Roman" w:hAnsi="Times New Roman" w:cs="Times New Roman"/>
          <w:b/>
          <w:bCs/>
          <w:sz w:val="24"/>
          <w:szCs w:val="24"/>
        </w:rPr>
        <w:t>" anotācija</w:t>
      </w:r>
    </w:p>
    <w:p w14:paraId="328163FB" w14:textId="77777777" w:rsidR="006C3828" w:rsidRPr="00894D21" w:rsidRDefault="006C3828" w:rsidP="00B917A7">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6771"/>
      </w:tblGrid>
      <w:tr w:rsidR="006C3828" w:rsidRPr="00894D21" w14:paraId="2962AEE1" w14:textId="77777777" w:rsidTr="002B2146">
        <w:trPr>
          <w:trHeight w:val="567"/>
        </w:trPr>
        <w:tc>
          <w:tcPr>
            <w:tcW w:w="1014" w:type="pct"/>
            <w:shd w:val="clear" w:color="auto" w:fill="auto"/>
            <w:hideMark/>
          </w:tcPr>
          <w:p w14:paraId="28E56CFA"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00D2931F" w14:textId="084B9D46" w:rsidR="006C3828" w:rsidRPr="00894D21" w:rsidRDefault="00BF3F58" w:rsidP="00B917A7">
            <w:pPr>
              <w:spacing w:after="120" w:line="240" w:lineRule="auto"/>
              <w:jc w:val="both"/>
              <w:rPr>
                <w:rFonts w:ascii="Times New Roman" w:eastAsia="Times New Roman" w:hAnsi="Times New Roman" w:cs="Times New Roman"/>
                <w:sz w:val="24"/>
                <w:szCs w:val="24"/>
                <w:lang w:eastAsia="lv-LV"/>
              </w:rPr>
            </w:pPr>
            <w:r w:rsidRPr="00BF3F58">
              <w:rPr>
                <w:rFonts w:ascii="Times New Roman" w:eastAsia="Times New Roman" w:hAnsi="Times New Roman" w:cs="Times New Roman"/>
                <w:sz w:val="24"/>
                <w:szCs w:val="24"/>
                <w:lang w:eastAsia="lv-LV"/>
              </w:rPr>
              <w:t xml:space="preserve">Apdrošinātāju un </w:t>
            </w:r>
            <w:proofErr w:type="spellStart"/>
            <w:r w:rsidRPr="00BF3F58">
              <w:rPr>
                <w:rFonts w:ascii="Times New Roman" w:eastAsia="Times New Roman" w:hAnsi="Times New Roman" w:cs="Times New Roman"/>
                <w:sz w:val="24"/>
                <w:szCs w:val="24"/>
                <w:lang w:eastAsia="lv-LV"/>
              </w:rPr>
              <w:t>pārapdrošinātāju</w:t>
            </w:r>
            <w:proofErr w:type="spellEnd"/>
            <w:r w:rsidRPr="00BF3F58">
              <w:rPr>
                <w:rFonts w:ascii="Times New Roman" w:eastAsia="Times New Roman" w:hAnsi="Times New Roman" w:cs="Times New Roman"/>
                <w:sz w:val="24"/>
                <w:szCs w:val="24"/>
                <w:lang w:eastAsia="lv-LV"/>
              </w:rPr>
              <w:t xml:space="preserve"> pārskatu sagatavošanas noteikumi</w:t>
            </w:r>
          </w:p>
        </w:tc>
      </w:tr>
      <w:tr w:rsidR="006C3828" w:rsidRPr="00894D21" w14:paraId="7F11A741" w14:textId="77777777" w:rsidTr="002B2146">
        <w:trPr>
          <w:trHeight w:val="395"/>
        </w:trPr>
        <w:tc>
          <w:tcPr>
            <w:tcW w:w="1014" w:type="pct"/>
            <w:shd w:val="clear" w:color="auto" w:fill="auto"/>
            <w:hideMark/>
          </w:tcPr>
          <w:p w14:paraId="49DBC46E"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4B5460C8" w14:textId="77777777"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2B2146">
        <w:trPr>
          <w:trHeight w:val="567"/>
        </w:trPr>
        <w:tc>
          <w:tcPr>
            <w:tcW w:w="1014" w:type="pct"/>
            <w:shd w:val="clear" w:color="auto" w:fill="auto"/>
            <w:hideMark/>
          </w:tcPr>
          <w:p w14:paraId="634A5735"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48EEF1AA" w14:textId="28009447" w:rsidR="006C3828" w:rsidRPr="00894D21" w:rsidRDefault="00BF3F58" w:rsidP="00B917A7">
            <w:pPr>
              <w:spacing w:after="120" w:line="240" w:lineRule="auto"/>
              <w:jc w:val="both"/>
              <w:rPr>
                <w:rFonts w:ascii="Times New Roman" w:eastAsia="Times New Roman" w:hAnsi="Times New Roman" w:cs="Times New Roman"/>
                <w:sz w:val="24"/>
                <w:szCs w:val="24"/>
                <w:lang w:eastAsia="lv-LV"/>
              </w:rPr>
            </w:pPr>
            <w:r w:rsidRPr="00BF3F58">
              <w:rPr>
                <w:rFonts w:ascii="Times New Roman" w:eastAsia="Times New Roman" w:hAnsi="Times New Roman" w:cs="Times New Roman"/>
                <w:sz w:val="24"/>
                <w:szCs w:val="24"/>
                <w:lang w:eastAsia="lv-LV"/>
              </w:rPr>
              <w:t>Apdrošināšanas un pārapdrošināšanas likuma</w:t>
            </w:r>
            <w:r>
              <w:rPr>
                <w:rFonts w:ascii="Times New Roman" w:eastAsia="Times New Roman" w:hAnsi="Times New Roman" w:cs="Times New Roman"/>
                <w:sz w:val="24"/>
                <w:szCs w:val="24"/>
                <w:lang w:eastAsia="lv-LV"/>
              </w:rPr>
              <w:t xml:space="preserve"> </w:t>
            </w:r>
            <w:r w:rsidR="005B533C" w:rsidRPr="005B533C">
              <w:rPr>
                <w:rFonts w:ascii="Times New Roman" w:eastAsia="Times New Roman" w:hAnsi="Times New Roman" w:cs="Times New Roman"/>
                <w:sz w:val="24"/>
                <w:szCs w:val="24"/>
                <w:lang w:eastAsia="lv-LV"/>
              </w:rPr>
              <w:t>40.</w:t>
            </w:r>
            <w:r w:rsidR="00B917A7">
              <w:rPr>
                <w:rFonts w:ascii="Times New Roman" w:eastAsia="Times New Roman" w:hAnsi="Times New Roman" w:cs="Times New Roman"/>
                <w:sz w:val="24"/>
                <w:szCs w:val="24"/>
                <w:lang w:eastAsia="lv-LV"/>
              </w:rPr>
              <w:t> </w:t>
            </w:r>
            <w:r w:rsidR="005B533C" w:rsidRPr="005B533C">
              <w:rPr>
                <w:rFonts w:ascii="Times New Roman" w:eastAsia="Times New Roman" w:hAnsi="Times New Roman" w:cs="Times New Roman"/>
                <w:sz w:val="24"/>
                <w:szCs w:val="24"/>
                <w:lang w:eastAsia="lv-LV"/>
              </w:rPr>
              <w:t>panta sest</w:t>
            </w:r>
            <w:r w:rsidR="005B533C">
              <w:rPr>
                <w:rFonts w:ascii="Times New Roman" w:eastAsia="Times New Roman" w:hAnsi="Times New Roman" w:cs="Times New Roman"/>
                <w:sz w:val="24"/>
                <w:szCs w:val="24"/>
                <w:lang w:eastAsia="lv-LV"/>
              </w:rPr>
              <w:t>ā</w:t>
            </w:r>
            <w:r w:rsidR="005B533C" w:rsidRPr="005B533C">
              <w:rPr>
                <w:rFonts w:ascii="Times New Roman" w:eastAsia="Times New Roman" w:hAnsi="Times New Roman" w:cs="Times New Roman"/>
                <w:sz w:val="24"/>
                <w:szCs w:val="24"/>
                <w:lang w:eastAsia="lv-LV"/>
              </w:rPr>
              <w:t xml:space="preserve"> daļ</w:t>
            </w:r>
            <w:r w:rsidR="005B533C">
              <w:rPr>
                <w:rFonts w:ascii="Times New Roman" w:eastAsia="Times New Roman" w:hAnsi="Times New Roman" w:cs="Times New Roman"/>
                <w:sz w:val="24"/>
                <w:szCs w:val="24"/>
                <w:lang w:eastAsia="lv-LV"/>
              </w:rPr>
              <w:t>a</w:t>
            </w:r>
            <w:r w:rsidR="005B533C" w:rsidRPr="005B533C">
              <w:rPr>
                <w:rFonts w:ascii="Times New Roman" w:eastAsia="Times New Roman" w:hAnsi="Times New Roman" w:cs="Times New Roman"/>
                <w:sz w:val="24"/>
                <w:szCs w:val="24"/>
                <w:lang w:eastAsia="lv-LV"/>
              </w:rPr>
              <w:t xml:space="preserve">, </w:t>
            </w:r>
            <w:r w:rsidRPr="00BF3F58">
              <w:rPr>
                <w:rFonts w:ascii="Times New Roman" w:eastAsia="Times New Roman" w:hAnsi="Times New Roman" w:cs="Times New Roman"/>
                <w:sz w:val="24"/>
                <w:szCs w:val="24"/>
                <w:lang w:eastAsia="lv-LV"/>
              </w:rPr>
              <w:t>41.</w:t>
            </w:r>
            <w:r w:rsidR="00B917A7">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panta astot</w:t>
            </w:r>
            <w:r>
              <w:rPr>
                <w:rFonts w:ascii="Times New Roman" w:eastAsia="Times New Roman" w:hAnsi="Times New Roman" w:cs="Times New Roman"/>
                <w:sz w:val="24"/>
                <w:szCs w:val="24"/>
                <w:lang w:eastAsia="lv-LV"/>
              </w:rPr>
              <w:t>ā</w:t>
            </w:r>
            <w:r w:rsidRPr="00BF3F58">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005B533C">
              <w:rPr>
                <w:rFonts w:ascii="Times New Roman" w:eastAsia="Times New Roman" w:hAnsi="Times New Roman" w:cs="Times New Roman"/>
                <w:sz w:val="24"/>
                <w:szCs w:val="24"/>
                <w:lang w:eastAsia="lv-LV"/>
              </w:rPr>
              <w:t>,</w:t>
            </w:r>
            <w:r w:rsidRPr="00BF3F58">
              <w:rPr>
                <w:rFonts w:ascii="Times New Roman" w:eastAsia="Times New Roman" w:hAnsi="Times New Roman" w:cs="Times New Roman"/>
                <w:sz w:val="24"/>
                <w:szCs w:val="24"/>
                <w:lang w:eastAsia="lv-LV"/>
              </w:rPr>
              <w:t xml:space="preserve"> 71.</w:t>
            </w:r>
            <w:r w:rsidR="00B917A7">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panta ceturt</w:t>
            </w:r>
            <w:r>
              <w:rPr>
                <w:rFonts w:ascii="Times New Roman" w:eastAsia="Times New Roman" w:hAnsi="Times New Roman" w:cs="Times New Roman"/>
                <w:sz w:val="24"/>
                <w:szCs w:val="24"/>
                <w:lang w:eastAsia="lv-LV"/>
              </w:rPr>
              <w:t>ā</w:t>
            </w:r>
            <w:r w:rsidRPr="00BF3F58">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005B533C">
              <w:rPr>
                <w:rFonts w:ascii="Times New Roman" w:eastAsia="Times New Roman" w:hAnsi="Times New Roman" w:cs="Times New Roman"/>
                <w:sz w:val="24"/>
                <w:szCs w:val="24"/>
                <w:lang w:eastAsia="lv-LV"/>
              </w:rPr>
              <w:t xml:space="preserve"> un </w:t>
            </w:r>
            <w:r w:rsidR="005B533C" w:rsidRPr="005B533C">
              <w:rPr>
                <w:rFonts w:ascii="Times New Roman" w:eastAsia="Times New Roman" w:hAnsi="Times New Roman" w:cs="Times New Roman"/>
                <w:sz w:val="24"/>
                <w:szCs w:val="24"/>
                <w:lang w:eastAsia="lv-LV"/>
              </w:rPr>
              <w:t>240.</w:t>
            </w:r>
            <w:r w:rsidR="00B917A7">
              <w:rPr>
                <w:rFonts w:ascii="Times New Roman" w:eastAsia="Times New Roman" w:hAnsi="Times New Roman" w:cs="Times New Roman"/>
                <w:sz w:val="24"/>
                <w:szCs w:val="24"/>
                <w:lang w:eastAsia="lv-LV"/>
              </w:rPr>
              <w:t> </w:t>
            </w:r>
            <w:r w:rsidR="005B533C" w:rsidRPr="005B533C">
              <w:rPr>
                <w:rFonts w:ascii="Times New Roman" w:eastAsia="Times New Roman" w:hAnsi="Times New Roman" w:cs="Times New Roman"/>
                <w:sz w:val="24"/>
                <w:szCs w:val="24"/>
                <w:lang w:eastAsia="lv-LV"/>
              </w:rPr>
              <w:t>pant</w:t>
            </w:r>
            <w:r w:rsidR="005B533C">
              <w:rPr>
                <w:rFonts w:ascii="Times New Roman" w:eastAsia="Times New Roman" w:hAnsi="Times New Roman" w:cs="Times New Roman"/>
                <w:sz w:val="24"/>
                <w:szCs w:val="24"/>
                <w:lang w:eastAsia="lv-LV"/>
              </w:rPr>
              <w:t>s</w:t>
            </w:r>
            <w:r w:rsidRPr="00BF3F58">
              <w:rPr>
                <w:rFonts w:ascii="Times New Roman" w:eastAsia="Times New Roman" w:hAnsi="Times New Roman" w:cs="Times New Roman"/>
                <w:sz w:val="24"/>
                <w:szCs w:val="24"/>
                <w:lang w:eastAsia="lv-LV"/>
              </w:rPr>
              <w:t>, Latvijas Bankas likuma 63.</w:t>
            </w:r>
            <w:r w:rsidR="00B917A7">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BF3F58">
              <w:rPr>
                <w:rFonts w:ascii="Times New Roman" w:eastAsia="Times New Roman" w:hAnsi="Times New Roman" w:cs="Times New Roman"/>
                <w:sz w:val="24"/>
                <w:szCs w:val="24"/>
                <w:lang w:eastAsia="lv-LV"/>
              </w:rPr>
              <w:t xml:space="preserve"> daļ</w:t>
            </w:r>
            <w:r w:rsidR="002866A5">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w:t>
            </w:r>
            <w:r w:rsidRPr="00BF3F58">
              <w:rPr>
                <w:rFonts w:ascii="Times New Roman" w:eastAsia="Times New Roman" w:hAnsi="Times New Roman" w:cs="Times New Roman"/>
                <w:sz w:val="24"/>
                <w:szCs w:val="24"/>
                <w:lang w:eastAsia="lv-LV"/>
              </w:rPr>
              <w:t>un 68.</w:t>
            </w:r>
            <w:r w:rsidR="00B917A7">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panta treš</w:t>
            </w:r>
            <w:r>
              <w:rPr>
                <w:rFonts w:ascii="Times New Roman" w:eastAsia="Times New Roman" w:hAnsi="Times New Roman" w:cs="Times New Roman"/>
                <w:sz w:val="24"/>
                <w:szCs w:val="24"/>
                <w:lang w:eastAsia="lv-LV"/>
              </w:rPr>
              <w:t>ā</w:t>
            </w:r>
            <w:r w:rsidRPr="00BF3F58">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6C3828" w:rsidRPr="00894D21" w14:paraId="26D3F596" w14:textId="77777777" w:rsidTr="002B2146">
        <w:trPr>
          <w:trHeight w:val="567"/>
        </w:trPr>
        <w:tc>
          <w:tcPr>
            <w:tcW w:w="1014" w:type="pct"/>
            <w:shd w:val="clear" w:color="auto" w:fill="auto"/>
            <w:hideMark/>
          </w:tcPr>
          <w:p w14:paraId="253A449D"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p w14:paraId="47670F7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p w14:paraId="57C9B05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1470A3BB" w14:textId="605B2DFE" w:rsidR="00896DBD" w:rsidRPr="00894D21" w:rsidRDefault="00896DBD" w:rsidP="00B917A7">
            <w:pPr>
              <w:spacing w:after="120" w:line="240" w:lineRule="auto"/>
              <w:jc w:val="both"/>
              <w:rPr>
                <w:rFonts w:ascii="Times New Roman" w:hAnsi="Times New Roman" w:cs="Times New Roman"/>
                <w:sz w:val="24"/>
                <w:szCs w:val="24"/>
              </w:rPr>
            </w:pPr>
            <w:r w:rsidRPr="00894D21">
              <w:rPr>
                <w:rFonts w:ascii="Times New Roman" w:hAnsi="Times New Roman" w:cs="Times New Roman"/>
                <w:sz w:val="24"/>
                <w:szCs w:val="24"/>
              </w:rPr>
              <w:t>Saskaņā ar Latvijas Bankas likuma pārejas noteikumu 3.</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gada 31.</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decembrim.</w:t>
            </w:r>
          </w:p>
          <w:p w14:paraId="5EEF3941" w14:textId="32A2AB47" w:rsidR="00BF3F58" w:rsidRDefault="00896DBD" w:rsidP="00B917A7">
            <w:pPr>
              <w:spacing w:after="120" w:line="240" w:lineRule="auto"/>
              <w:jc w:val="both"/>
              <w:rPr>
                <w:rFonts w:ascii="Times New Roman" w:hAnsi="Times New Roman" w:cs="Times New Roman"/>
                <w:sz w:val="24"/>
                <w:szCs w:val="24"/>
              </w:rPr>
            </w:pPr>
            <w:r w:rsidRPr="00894D21">
              <w:rPr>
                <w:rFonts w:ascii="Times New Roman" w:hAnsi="Times New Roman" w:cs="Times New Roman"/>
                <w:sz w:val="24"/>
                <w:szCs w:val="24"/>
              </w:rPr>
              <w:t>Ņemot vērā minēto, Latvijas Banka ir izstrādājusi noteikumu projektu "</w:t>
            </w:r>
            <w:r w:rsidR="00BF3F58" w:rsidRPr="00BF3F58">
              <w:rPr>
                <w:rFonts w:ascii="Times New Roman" w:eastAsia="Times New Roman" w:hAnsi="Times New Roman" w:cs="Times New Roman"/>
                <w:sz w:val="24"/>
                <w:szCs w:val="24"/>
                <w:lang w:eastAsia="lv-LV"/>
              </w:rPr>
              <w:t xml:space="preserve">Apdrošinātāju un </w:t>
            </w:r>
            <w:proofErr w:type="spellStart"/>
            <w:r w:rsidR="00BF3F58" w:rsidRPr="00BF3F58">
              <w:rPr>
                <w:rFonts w:ascii="Times New Roman" w:eastAsia="Times New Roman" w:hAnsi="Times New Roman" w:cs="Times New Roman"/>
                <w:sz w:val="24"/>
                <w:szCs w:val="24"/>
                <w:lang w:eastAsia="lv-LV"/>
              </w:rPr>
              <w:t>pārapdrošinātāju</w:t>
            </w:r>
            <w:proofErr w:type="spellEnd"/>
            <w:r w:rsidR="00BF3F58" w:rsidRPr="00BF3F58">
              <w:rPr>
                <w:rFonts w:ascii="Times New Roman" w:eastAsia="Times New Roman" w:hAnsi="Times New Roman" w:cs="Times New Roman"/>
                <w:sz w:val="24"/>
                <w:szCs w:val="24"/>
                <w:lang w:eastAsia="lv-LV"/>
              </w:rPr>
              <w:t xml:space="preserve"> pārskatu sagatavošanas noteikumi</w:t>
            </w:r>
            <w:r w:rsidRPr="00894D21">
              <w:rPr>
                <w:rFonts w:ascii="Times New Roman" w:hAnsi="Times New Roman" w:cs="Times New Roman"/>
                <w:sz w:val="24"/>
                <w:szCs w:val="24"/>
              </w:rPr>
              <w:t>" (turpmāk</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 noteikumu projekts), kas</w:t>
            </w:r>
            <w:r w:rsidR="00591CBF" w:rsidRPr="00894D21">
              <w:rPr>
                <w:rFonts w:ascii="Times New Roman" w:hAnsi="Times New Roman" w:cs="Times New Roman"/>
                <w:sz w:val="24"/>
                <w:szCs w:val="24"/>
              </w:rPr>
              <w:t xml:space="preserve"> </w:t>
            </w:r>
            <w:r w:rsidRPr="00894D21">
              <w:rPr>
                <w:rFonts w:ascii="Times New Roman" w:hAnsi="Times New Roman" w:cs="Times New Roman"/>
                <w:sz w:val="24"/>
                <w:szCs w:val="24"/>
              </w:rPr>
              <w:t>aizstās</w:t>
            </w:r>
            <w:r w:rsidR="006A2A11" w:rsidRPr="00894D21">
              <w:rPr>
                <w:rFonts w:ascii="Times New Roman" w:hAnsi="Times New Roman" w:cs="Times New Roman"/>
                <w:sz w:val="24"/>
                <w:szCs w:val="24"/>
              </w:rPr>
              <w:t xml:space="preserve"> </w:t>
            </w:r>
            <w:r w:rsidRPr="00894D21">
              <w:rPr>
                <w:rFonts w:ascii="Times New Roman" w:hAnsi="Times New Roman" w:cs="Times New Roman"/>
                <w:sz w:val="24"/>
                <w:szCs w:val="24"/>
              </w:rPr>
              <w:t xml:space="preserve">Finanšu un kapitāla tirgus komisijas </w:t>
            </w:r>
            <w:r w:rsidR="00BF3F58" w:rsidRPr="00BF3F58">
              <w:rPr>
                <w:rFonts w:ascii="Times New Roman" w:hAnsi="Times New Roman" w:cs="Times New Roman"/>
                <w:sz w:val="24"/>
                <w:szCs w:val="24"/>
              </w:rPr>
              <w:t>2020.</w:t>
            </w:r>
            <w:r w:rsidR="00B917A7">
              <w:rPr>
                <w:rFonts w:ascii="Times New Roman" w:hAnsi="Times New Roman" w:cs="Times New Roman"/>
                <w:sz w:val="24"/>
                <w:szCs w:val="24"/>
              </w:rPr>
              <w:t> </w:t>
            </w:r>
            <w:r w:rsidR="00BF3F58" w:rsidRPr="00BF3F58">
              <w:rPr>
                <w:rFonts w:ascii="Times New Roman" w:hAnsi="Times New Roman" w:cs="Times New Roman"/>
                <w:sz w:val="24"/>
                <w:szCs w:val="24"/>
              </w:rPr>
              <w:t>gada 1.</w:t>
            </w:r>
            <w:r w:rsidR="00B917A7">
              <w:rPr>
                <w:rFonts w:ascii="Times New Roman" w:hAnsi="Times New Roman" w:cs="Times New Roman"/>
                <w:sz w:val="24"/>
                <w:szCs w:val="24"/>
              </w:rPr>
              <w:t> </w:t>
            </w:r>
            <w:r w:rsidR="00BF3F58" w:rsidRPr="00BF3F58">
              <w:rPr>
                <w:rFonts w:ascii="Times New Roman" w:hAnsi="Times New Roman" w:cs="Times New Roman"/>
                <w:sz w:val="24"/>
                <w:szCs w:val="24"/>
              </w:rPr>
              <w:t>decembra normatīvos noteikumus Nr.</w:t>
            </w:r>
            <w:r w:rsidR="00B917A7">
              <w:rPr>
                <w:rFonts w:ascii="Times New Roman" w:hAnsi="Times New Roman" w:cs="Times New Roman"/>
                <w:sz w:val="24"/>
                <w:szCs w:val="24"/>
              </w:rPr>
              <w:t> </w:t>
            </w:r>
            <w:r w:rsidR="00BF3F58" w:rsidRPr="00BF3F58">
              <w:rPr>
                <w:rFonts w:ascii="Times New Roman" w:hAnsi="Times New Roman" w:cs="Times New Roman"/>
                <w:sz w:val="24"/>
                <w:szCs w:val="24"/>
              </w:rPr>
              <w:t xml:space="preserve">228 "Apdrošinātāju un </w:t>
            </w:r>
            <w:proofErr w:type="spellStart"/>
            <w:r w:rsidR="00BF3F58" w:rsidRPr="00BF3F58">
              <w:rPr>
                <w:rFonts w:ascii="Times New Roman" w:hAnsi="Times New Roman" w:cs="Times New Roman"/>
                <w:sz w:val="24"/>
                <w:szCs w:val="24"/>
              </w:rPr>
              <w:t>pārapdrošinātāju</w:t>
            </w:r>
            <w:proofErr w:type="spellEnd"/>
            <w:r w:rsidR="00BF3F58" w:rsidRPr="00BF3F58">
              <w:rPr>
                <w:rFonts w:ascii="Times New Roman" w:hAnsi="Times New Roman" w:cs="Times New Roman"/>
                <w:sz w:val="24"/>
                <w:szCs w:val="24"/>
              </w:rPr>
              <w:t xml:space="preserve"> pārskatu sagatavošanas normatīvie noteikumi"</w:t>
            </w:r>
            <w:r w:rsidR="00751877">
              <w:rPr>
                <w:rFonts w:ascii="Times New Roman" w:hAnsi="Times New Roman" w:cs="Times New Roman"/>
                <w:sz w:val="24"/>
                <w:szCs w:val="24"/>
              </w:rPr>
              <w:t xml:space="preserve"> </w:t>
            </w:r>
            <w:r w:rsidR="00751877" w:rsidRPr="00751877">
              <w:rPr>
                <w:rFonts w:ascii="Times New Roman" w:hAnsi="Times New Roman" w:cs="Times New Roman"/>
                <w:sz w:val="24"/>
                <w:szCs w:val="24"/>
              </w:rPr>
              <w:t>(turpmāk</w:t>
            </w:r>
            <w:r w:rsidR="00B917A7">
              <w:rPr>
                <w:rFonts w:ascii="Times New Roman" w:hAnsi="Times New Roman" w:cs="Times New Roman"/>
                <w:sz w:val="24"/>
                <w:szCs w:val="24"/>
              </w:rPr>
              <w:t> </w:t>
            </w:r>
            <w:r w:rsidR="00751877" w:rsidRPr="00751877">
              <w:rPr>
                <w:rFonts w:ascii="Times New Roman" w:hAnsi="Times New Roman" w:cs="Times New Roman"/>
                <w:sz w:val="24"/>
                <w:szCs w:val="24"/>
              </w:rPr>
              <w:t>– Noteikumi Nr.</w:t>
            </w:r>
            <w:r w:rsidR="003B58DB">
              <w:rPr>
                <w:rFonts w:ascii="Times New Roman" w:hAnsi="Times New Roman" w:cs="Times New Roman"/>
                <w:sz w:val="24"/>
                <w:szCs w:val="24"/>
              </w:rPr>
              <w:t> </w:t>
            </w:r>
            <w:r w:rsidR="00751877">
              <w:rPr>
                <w:rFonts w:ascii="Times New Roman" w:hAnsi="Times New Roman" w:cs="Times New Roman"/>
                <w:sz w:val="24"/>
                <w:szCs w:val="24"/>
              </w:rPr>
              <w:t>228</w:t>
            </w:r>
            <w:r w:rsidR="00751877" w:rsidRPr="00751877">
              <w:rPr>
                <w:rFonts w:ascii="Times New Roman" w:hAnsi="Times New Roman" w:cs="Times New Roman"/>
                <w:sz w:val="24"/>
                <w:szCs w:val="24"/>
              </w:rPr>
              <w:t>)</w:t>
            </w:r>
            <w:r w:rsidR="00BF3F58">
              <w:rPr>
                <w:rFonts w:ascii="Times New Roman" w:hAnsi="Times New Roman" w:cs="Times New Roman"/>
                <w:sz w:val="24"/>
                <w:szCs w:val="24"/>
              </w:rPr>
              <w:t>.</w:t>
            </w:r>
          </w:p>
          <w:p w14:paraId="18F55787" w14:textId="49394E33" w:rsidR="00BF3F58" w:rsidRDefault="00DD54AE"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projekta prasības būs saistošas </w:t>
            </w:r>
            <w:r w:rsidR="00BF3F58" w:rsidRPr="00BF3F58">
              <w:rPr>
                <w:rFonts w:ascii="Times New Roman" w:eastAsia="Times New Roman" w:hAnsi="Times New Roman" w:cs="Times New Roman"/>
                <w:sz w:val="24"/>
                <w:szCs w:val="24"/>
                <w:lang w:eastAsia="lv-LV"/>
              </w:rPr>
              <w:t xml:space="preserve">apdrošināšanas </w:t>
            </w:r>
            <w:r w:rsidR="002866A5">
              <w:rPr>
                <w:rFonts w:ascii="Times New Roman" w:eastAsia="Times New Roman" w:hAnsi="Times New Roman" w:cs="Times New Roman"/>
                <w:sz w:val="24"/>
                <w:szCs w:val="24"/>
                <w:lang w:eastAsia="lv-LV"/>
              </w:rPr>
              <w:t>sa</w:t>
            </w:r>
            <w:r w:rsidR="00DA010F">
              <w:rPr>
                <w:rFonts w:ascii="Times New Roman" w:eastAsia="Times New Roman" w:hAnsi="Times New Roman" w:cs="Times New Roman"/>
                <w:sz w:val="24"/>
                <w:szCs w:val="24"/>
                <w:lang w:eastAsia="lv-LV"/>
              </w:rPr>
              <w:t>b</w:t>
            </w:r>
            <w:r w:rsidR="002866A5">
              <w:rPr>
                <w:rFonts w:ascii="Times New Roman" w:eastAsia="Times New Roman" w:hAnsi="Times New Roman" w:cs="Times New Roman"/>
                <w:sz w:val="24"/>
                <w:szCs w:val="24"/>
                <w:lang w:eastAsia="lv-LV"/>
              </w:rPr>
              <w:t xml:space="preserve">iedrībām, </w:t>
            </w:r>
            <w:r w:rsidR="00BF3F58" w:rsidRPr="00BF3F58">
              <w:rPr>
                <w:rFonts w:ascii="Times New Roman" w:eastAsia="Times New Roman" w:hAnsi="Times New Roman" w:cs="Times New Roman"/>
                <w:sz w:val="24"/>
                <w:szCs w:val="24"/>
                <w:lang w:eastAsia="lv-LV"/>
              </w:rPr>
              <w:t>pārapdrošināšanas sabiedrīb</w:t>
            </w:r>
            <w:r w:rsidR="00BF3F58">
              <w:rPr>
                <w:rFonts w:ascii="Times New Roman" w:eastAsia="Times New Roman" w:hAnsi="Times New Roman" w:cs="Times New Roman"/>
                <w:sz w:val="24"/>
                <w:szCs w:val="24"/>
                <w:lang w:eastAsia="lv-LV"/>
              </w:rPr>
              <w:t>ām</w:t>
            </w:r>
            <w:r w:rsidR="00BF3F58" w:rsidRPr="00BF3F58">
              <w:rPr>
                <w:rFonts w:ascii="Times New Roman" w:eastAsia="Times New Roman" w:hAnsi="Times New Roman" w:cs="Times New Roman"/>
                <w:sz w:val="24"/>
                <w:szCs w:val="24"/>
                <w:lang w:eastAsia="lv-LV"/>
              </w:rPr>
              <w:t>, dalībvalst</w:t>
            </w:r>
            <w:r w:rsidR="002866A5">
              <w:rPr>
                <w:rFonts w:ascii="Times New Roman" w:eastAsia="Times New Roman" w:hAnsi="Times New Roman" w:cs="Times New Roman"/>
                <w:sz w:val="24"/>
                <w:szCs w:val="24"/>
                <w:lang w:eastAsia="lv-LV"/>
              </w:rPr>
              <w:t>s</w:t>
            </w:r>
            <w:r w:rsidR="00BF3F58" w:rsidRPr="00BF3F58">
              <w:rPr>
                <w:rFonts w:ascii="Times New Roman" w:eastAsia="Times New Roman" w:hAnsi="Times New Roman" w:cs="Times New Roman"/>
                <w:sz w:val="24"/>
                <w:szCs w:val="24"/>
                <w:lang w:eastAsia="lv-LV"/>
              </w:rPr>
              <w:t xml:space="preserve"> apdrošinātāju </w:t>
            </w:r>
            <w:r w:rsidR="002866A5">
              <w:rPr>
                <w:rFonts w:ascii="Times New Roman" w:eastAsia="Times New Roman" w:hAnsi="Times New Roman" w:cs="Times New Roman"/>
                <w:sz w:val="24"/>
                <w:szCs w:val="24"/>
                <w:lang w:eastAsia="lv-LV"/>
              </w:rPr>
              <w:t>filiālēm, dalībvalsts</w:t>
            </w:r>
            <w:r w:rsidR="00BF3F58" w:rsidRPr="00BF3F58">
              <w:rPr>
                <w:rFonts w:ascii="Times New Roman" w:eastAsia="Times New Roman" w:hAnsi="Times New Roman" w:cs="Times New Roman"/>
                <w:sz w:val="24"/>
                <w:szCs w:val="24"/>
                <w:lang w:eastAsia="lv-LV"/>
              </w:rPr>
              <w:t xml:space="preserve"> </w:t>
            </w:r>
            <w:proofErr w:type="spellStart"/>
            <w:r w:rsidR="00BF3F58" w:rsidRPr="00BF3F58">
              <w:rPr>
                <w:rFonts w:ascii="Times New Roman" w:eastAsia="Times New Roman" w:hAnsi="Times New Roman" w:cs="Times New Roman"/>
                <w:sz w:val="24"/>
                <w:szCs w:val="24"/>
                <w:lang w:eastAsia="lv-LV"/>
              </w:rPr>
              <w:t>pārapdrošinātāju</w:t>
            </w:r>
            <w:proofErr w:type="spellEnd"/>
            <w:r w:rsidR="00BF3F58" w:rsidRPr="00BF3F58">
              <w:rPr>
                <w:rFonts w:ascii="Times New Roman" w:eastAsia="Times New Roman" w:hAnsi="Times New Roman" w:cs="Times New Roman"/>
                <w:sz w:val="24"/>
                <w:szCs w:val="24"/>
                <w:lang w:eastAsia="lv-LV"/>
              </w:rPr>
              <w:t xml:space="preserve"> filiāl</w:t>
            </w:r>
            <w:r w:rsidR="00BF3F58">
              <w:rPr>
                <w:rFonts w:ascii="Times New Roman" w:eastAsia="Times New Roman" w:hAnsi="Times New Roman" w:cs="Times New Roman"/>
                <w:sz w:val="24"/>
                <w:szCs w:val="24"/>
                <w:lang w:eastAsia="lv-LV"/>
              </w:rPr>
              <w:t>ēm</w:t>
            </w:r>
            <w:r w:rsidR="00BF3F58" w:rsidRPr="00BF3F58">
              <w:rPr>
                <w:rFonts w:ascii="Times New Roman" w:eastAsia="Times New Roman" w:hAnsi="Times New Roman" w:cs="Times New Roman"/>
                <w:sz w:val="24"/>
                <w:szCs w:val="24"/>
                <w:lang w:eastAsia="lv-LV"/>
              </w:rPr>
              <w:t>, ārvalst</w:t>
            </w:r>
            <w:r w:rsidR="002866A5">
              <w:rPr>
                <w:rFonts w:ascii="Times New Roman" w:eastAsia="Times New Roman" w:hAnsi="Times New Roman" w:cs="Times New Roman"/>
                <w:sz w:val="24"/>
                <w:szCs w:val="24"/>
                <w:lang w:eastAsia="lv-LV"/>
              </w:rPr>
              <w:t>s</w:t>
            </w:r>
            <w:r w:rsidR="00BF3F58" w:rsidRPr="00BF3F58">
              <w:rPr>
                <w:rFonts w:ascii="Times New Roman" w:eastAsia="Times New Roman" w:hAnsi="Times New Roman" w:cs="Times New Roman"/>
                <w:sz w:val="24"/>
                <w:szCs w:val="24"/>
                <w:lang w:eastAsia="lv-LV"/>
              </w:rPr>
              <w:t xml:space="preserve"> apdrošinātāju </w:t>
            </w:r>
            <w:r w:rsidR="002866A5">
              <w:rPr>
                <w:rFonts w:ascii="Times New Roman" w:eastAsia="Times New Roman" w:hAnsi="Times New Roman" w:cs="Times New Roman"/>
                <w:sz w:val="24"/>
                <w:szCs w:val="24"/>
                <w:lang w:eastAsia="lv-LV"/>
              </w:rPr>
              <w:t>filiālēm, ārvalsts</w:t>
            </w:r>
            <w:r w:rsidR="00BF3F58" w:rsidRPr="00BF3F58">
              <w:rPr>
                <w:rFonts w:ascii="Times New Roman" w:eastAsia="Times New Roman" w:hAnsi="Times New Roman" w:cs="Times New Roman"/>
                <w:sz w:val="24"/>
                <w:szCs w:val="24"/>
                <w:lang w:eastAsia="lv-LV"/>
              </w:rPr>
              <w:t xml:space="preserve"> </w:t>
            </w:r>
            <w:proofErr w:type="spellStart"/>
            <w:r w:rsidR="00BF3F58" w:rsidRPr="00BF3F58">
              <w:rPr>
                <w:rFonts w:ascii="Times New Roman" w:eastAsia="Times New Roman" w:hAnsi="Times New Roman" w:cs="Times New Roman"/>
                <w:sz w:val="24"/>
                <w:szCs w:val="24"/>
                <w:lang w:eastAsia="lv-LV"/>
              </w:rPr>
              <w:t>pārapdrošinātāju</w:t>
            </w:r>
            <w:proofErr w:type="spellEnd"/>
            <w:r w:rsidR="00BF3F58" w:rsidRPr="00BF3F58">
              <w:rPr>
                <w:rFonts w:ascii="Times New Roman" w:eastAsia="Times New Roman" w:hAnsi="Times New Roman" w:cs="Times New Roman"/>
                <w:sz w:val="24"/>
                <w:szCs w:val="24"/>
                <w:lang w:eastAsia="lv-LV"/>
              </w:rPr>
              <w:t xml:space="preserve"> filiāl</w:t>
            </w:r>
            <w:r w:rsidR="00BF3F58">
              <w:rPr>
                <w:rFonts w:ascii="Times New Roman" w:eastAsia="Times New Roman" w:hAnsi="Times New Roman" w:cs="Times New Roman"/>
                <w:sz w:val="24"/>
                <w:szCs w:val="24"/>
                <w:lang w:eastAsia="lv-LV"/>
              </w:rPr>
              <w:t>ēm</w:t>
            </w:r>
            <w:r w:rsidR="00BF3F58" w:rsidRPr="00BF3F58">
              <w:rPr>
                <w:rFonts w:ascii="Times New Roman" w:eastAsia="Times New Roman" w:hAnsi="Times New Roman" w:cs="Times New Roman"/>
                <w:sz w:val="24"/>
                <w:szCs w:val="24"/>
                <w:lang w:eastAsia="lv-LV"/>
              </w:rPr>
              <w:t xml:space="preserve">, kā arī Apdrošināšanas un pārapdrošināšanas likuma </w:t>
            </w:r>
            <w:r w:rsidR="005B533C">
              <w:rPr>
                <w:rFonts w:ascii="Times New Roman" w:eastAsia="Times New Roman" w:hAnsi="Times New Roman" w:cs="Times New Roman"/>
                <w:sz w:val="24"/>
                <w:szCs w:val="24"/>
                <w:lang w:eastAsia="lv-LV"/>
              </w:rPr>
              <w:t>197</w:t>
            </w:r>
            <w:r w:rsidR="00BF3F58" w:rsidRPr="00BF3F58">
              <w:rPr>
                <w:rFonts w:ascii="Times New Roman" w:eastAsia="Times New Roman" w:hAnsi="Times New Roman" w:cs="Times New Roman"/>
                <w:sz w:val="24"/>
                <w:szCs w:val="24"/>
                <w:lang w:eastAsia="lv-LV"/>
              </w:rPr>
              <w:t>.</w:t>
            </w:r>
            <w:r w:rsidR="00B917A7">
              <w:rPr>
                <w:rFonts w:ascii="Times New Roman" w:eastAsia="Times New Roman" w:hAnsi="Times New Roman" w:cs="Times New Roman"/>
                <w:sz w:val="24"/>
                <w:szCs w:val="24"/>
                <w:lang w:eastAsia="lv-LV"/>
              </w:rPr>
              <w:t> </w:t>
            </w:r>
            <w:r w:rsidR="00BF3F58" w:rsidRPr="00BF3F58">
              <w:rPr>
                <w:rFonts w:ascii="Times New Roman" w:eastAsia="Times New Roman" w:hAnsi="Times New Roman" w:cs="Times New Roman"/>
                <w:sz w:val="24"/>
                <w:szCs w:val="24"/>
                <w:lang w:eastAsia="lv-LV"/>
              </w:rPr>
              <w:t>pantā minēt</w:t>
            </w:r>
            <w:r w:rsidR="00BF3F58">
              <w:rPr>
                <w:rFonts w:ascii="Times New Roman" w:eastAsia="Times New Roman" w:hAnsi="Times New Roman" w:cs="Times New Roman"/>
                <w:sz w:val="24"/>
                <w:szCs w:val="24"/>
                <w:lang w:eastAsia="lv-LV"/>
              </w:rPr>
              <w:t>ajām</w:t>
            </w:r>
            <w:r w:rsidR="00BF3F58" w:rsidRPr="00BF3F58">
              <w:rPr>
                <w:rFonts w:ascii="Times New Roman" w:eastAsia="Times New Roman" w:hAnsi="Times New Roman" w:cs="Times New Roman"/>
                <w:sz w:val="24"/>
                <w:szCs w:val="24"/>
                <w:lang w:eastAsia="lv-LV"/>
              </w:rPr>
              <w:t xml:space="preserve"> apdrošināšanas vai pārapdrošināšanas dalības sabiedrīb</w:t>
            </w:r>
            <w:r w:rsidR="00BF3F58">
              <w:rPr>
                <w:rFonts w:ascii="Times New Roman" w:eastAsia="Times New Roman" w:hAnsi="Times New Roman" w:cs="Times New Roman"/>
                <w:sz w:val="24"/>
                <w:szCs w:val="24"/>
                <w:lang w:eastAsia="lv-LV"/>
              </w:rPr>
              <w:t>ā</w:t>
            </w:r>
            <w:r w:rsidR="00BF3F58" w:rsidRPr="00BF3F58">
              <w:rPr>
                <w:rFonts w:ascii="Times New Roman" w:eastAsia="Times New Roman" w:hAnsi="Times New Roman" w:cs="Times New Roman"/>
                <w:sz w:val="24"/>
                <w:szCs w:val="24"/>
                <w:lang w:eastAsia="lv-LV"/>
              </w:rPr>
              <w:t xml:space="preserve">m, apdrošināšanas </w:t>
            </w:r>
            <w:proofErr w:type="spellStart"/>
            <w:r w:rsidR="00BF3F58" w:rsidRPr="00BF3F58">
              <w:rPr>
                <w:rFonts w:ascii="Times New Roman" w:eastAsia="Times New Roman" w:hAnsi="Times New Roman" w:cs="Times New Roman"/>
                <w:sz w:val="24"/>
                <w:szCs w:val="24"/>
                <w:lang w:eastAsia="lv-LV"/>
              </w:rPr>
              <w:t>pārvaldītājsabiedrīb</w:t>
            </w:r>
            <w:r w:rsidR="00BF3F58">
              <w:rPr>
                <w:rFonts w:ascii="Times New Roman" w:eastAsia="Times New Roman" w:hAnsi="Times New Roman" w:cs="Times New Roman"/>
                <w:sz w:val="24"/>
                <w:szCs w:val="24"/>
                <w:lang w:eastAsia="lv-LV"/>
              </w:rPr>
              <w:t>ām</w:t>
            </w:r>
            <w:proofErr w:type="spellEnd"/>
            <w:r w:rsidR="00BF3F58" w:rsidRPr="00BF3F58">
              <w:rPr>
                <w:rFonts w:ascii="Times New Roman" w:eastAsia="Times New Roman" w:hAnsi="Times New Roman" w:cs="Times New Roman"/>
                <w:sz w:val="24"/>
                <w:szCs w:val="24"/>
                <w:lang w:eastAsia="lv-LV"/>
              </w:rPr>
              <w:t xml:space="preserve"> un jaukt</w:t>
            </w:r>
            <w:r w:rsidR="00BF3F58">
              <w:rPr>
                <w:rFonts w:ascii="Times New Roman" w:eastAsia="Times New Roman" w:hAnsi="Times New Roman" w:cs="Times New Roman"/>
                <w:sz w:val="24"/>
                <w:szCs w:val="24"/>
                <w:lang w:eastAsia="lv-LV"/>
              </w:rPr>
              <w:t>ām</w:t>
            </w:r>
            <w:r w:rsidR="00BF3F58" w:rsidRPr="00BF3F58">
              <w:rPr>
                <w:rFonts w:ascii="Times New Roman" w:eastAsia="Times New Roman" w:hAnsi="Times New Roman" w:cs="Times New Roman"/>
                <w:sz w:val="24"/>
                <w:szCs w:val="24"/>
                <w:lang w:eastAsia="lv-LV"/>
              </w:rPr>
              <w:t xml:space="preserve"> finanšu </w:t>
            </w:r>
            <w:proofErr w:type="spellStart"/>
            <w:r w:rsidR="00BF3F58" w:rsidRPr="00BF3F58">
              <w:rPr>
                <w:rFonts w:ascii="Times New Roman" w:eastAsia="Times New Roman" w:hAnsi="Times New Roman" w:cs="Times New Roman"/>
                <w:sz w:val="24"/>
                <w:szCs w:val="24"/>
                <w:lang w:eastAsia="lv-LV"/>
              </w:rPr>
              <w:t>pārvaldītājsabiedrīb</w:t>
            </w:r>
            <w:r w:rsidR="00BF3F58">
              <w:rPr>
                <w:rFonts w:ascii="Times New Roman" w:eastAsia="Times New Roman" w:hAnsi="Times New Roman" w:cs="Times New Roman"/>
                <w:sz w:val="24"/>
                <w:szCs w:val="24"/>
                <w:lang w:eastAsia="lv-LV"/>
              </w:rPr>
              <w:t>ām</w:t>
            </w:r>
            <w:proofErr w:type="spellEnd"/>
            <w:r w:rsidR="00BF3F58" w:rsidRPr="00BF3F58">
              <w:rPr>
                <w:rFonts w:ascii="Times New Roman" w:eastAsia="Times New Roman" w:hAnsi="Times New Roman" w:cs="Times New Roman"/>
                <w:sz w:val="24"/>
                <w:szCs w:val="24"/>
                <w:lang w:eastAsia="lv-LV"/>
              </w:rPr>
              <w:t>, kas iesniedz Latvijas Bankai, ja tā ir grupas uzraudzības iestāde, grupas uzraudzības veikšanai nepieciešamo informāciju</w:t>
            </w:r>
            <w:r w:rsidR="00BF3F58">
              <w:rPr>
                <w:rFonts w:ascii="Times New Roman" w:eastAsia="Times New Roman" w:hAnsi="Times New Roman" w:cs="Times New Roman"/>
                <w:sz w:val="24"/>
                <w:szCs w:val="24"/>
                <w:lang w:eastAsia="lv-LV"/>
              </w:rPr>
              <w:t>.</w:t>
            </w:r>
            <w:r w:rsidRPr="00894D21">
              <w:rPr>
                <w:rFonts w:ascii="Times New Roman" w:eastAsia="Times New Roman" w:hAnsi="Times New Roman" w:cs="Times New Roman"/>
                <w:sz w:val="24"/>
                <w:szCs w:val="24"/>
                <w:lang w:eastAsia="lv-LV"/>
              </w:rPr>
              <w:t xml:space="preserve"> </w:t>
            </w:r>
            <w:r w:rsidR="00BF3F58">
              <w:rPr>
                <w:rFonts w:ascii="Times New Roman" w:eastAsia="Times New Roman" w:hAnsi="Times New Roman" w:cs="Times New Roman"/>
                <w:sz w:val="24"/>
                <w:szCs w:val="24"/>
                <w:lang w:eastAsia="lv-LV"/>
              </w:rPr>
              <w:t>Pārskatu</w:t>
            </w:r>
            <w:r w:rsidRPr="00894D21">
              <w:rPr>
                <w:rFonts w:ascii="Times New Roman" w:eastAsia="Times New Roman" w:hAnsi="Times New Roman" w:cs="Times New Roman"/>
                <w:sz w:val="24"/>
                <w:szCs w:val="24"/>
                <w:lang w:eastAsia="lv-LV"/>
              </w:rPr>
              <w:t xml:space="preserve"> sniedzēju loks</w:t>
            </w:r>
            <w:r w:rsidR="0079577C" w:rsidRPr="00894D21">
              <w:rPr>
                <w:rFonts w:ascii="Times New Roman" w:eastAsia="Times New Roman" w:hAnsi="Times New Roman" w:cs="Times New Roman"/>
                <w:sz w:val="24"/>
                <w:szCs w:val="24"/>
                <w:lang w:eastAsia="lv-LV"/>
              </w:rPr>
              <w:t xml:space="preserve">, </w:t>
            </w:r>
            <w:r w:rsidR="00E7294C" w:rsidRPr="00894D21">
              <w:rPr>
                <w:rFonts w:ascii="Times New Roman" w:eastAsia="Times New Roman" w:hAnsi="Times New Roman" w:cs="Times New Roman"/>
                <w:sz w:val="24"/>
                <w:szCs w:val="24"/>
                <w:lang w:eastAsia="lv-LV"/>
              </w:rPr>
              <w:t xml:space="preserve">iesniegšanas biežums un termiņi </w:t>
            </w:r>
            <w:r w:rsidR="00AA5AB1" w:rsidRPr="00894D21">
              <w:rPr>
                <w:rFonts w:ascii="Times New Roman" w:eastAsia="Times New Roman" w:hAnsi="Times New Roman" w:cs="Times New Roman"/>
                <w:sz w:val="24"/>
                <w:szCs w:val="24"/>
                <w:lang w:eastAsia="lv-LV"/>
              </w:rPr>
              <w:t xml:space="preserve">ir </w:t>
            </w:r>
            <w:r w:rsidR="00306230" w:rsidRPr="00894D21">
              <w:rPr>
                <w:rFonts w:ascii="Times New Roman" w:eastAsia="Times New Roman" w:hAnsi="Times New Roman" w:cs="Times New Roman"/>
                <w:sz w:val="24"/>
                <w:szCs w:val="24"/>
                <w:lang w:eastAsia="lv-LV"/>
              </w:rPr>
              <w:t>atšķirīgi</w:t>
            </w:r>
            <w:r w:rsidRPr="00894D21">
              <w:rPr>
                <w:rFonts w:ascii="Times New Roman" w:eastAsia="Times New Roman" w:hAnsi="Times New Roman" w:cs="Times New Roman"/>
                <w:sz w:val="24"/>
                <w:szCs w:val="24"/>
                <w:lang w:eastAsia="lv-LV"/>
              </w:rPr>
              <w:t xml:space="preserve">, un </w:t>
            </w:r>
            <w:r w:rsidR="00E36ABE" w:rsidRPr="00894D21">
              <w:rPr>
                <w:rFonts w:ascii="Times New Roman" w:eastAsia="Times New Roman" w:hAnsi="Times New Roman" w:cs="Times New Roman"/>
                <w:sz w:val="24"/>
                <w:szCs w:val="24"/>
                <w:lang w:eastAsia="lv-LV"/>
              </w:rPr>
              <w:t xml:space="preserve">tie </w:t>
            </w:r>
            <w:r w:rsidRPr="00894D21">
              <w:rPr>
                <w:rFonts w:ascii="Times New Roman" w:eastAsia="Times New Roman" w:hAnsi="Times New Roman" w:cs="Times New Roman"/>
                <w:sz w:val="24"/>
                <w:szCs w:val="24"/>
                <w:lang w:eastAsia="lv-LV"/>
              </w:rPr>
              <w:t xml:space="preserve">ir </w:t>
            </w:r>
            <w:r w:rsidR="00E36ABE" w:rsidRPr="00894D21">
              <w:rPr>
                <w:rFonts w:ascii="Times New Roman" w:eastAsia="Times New Roman" w:hAnsi="Times New Roman" w:cs="Times New Roman"/>
                <w:sz w:val="24"/>
                <w:szCs w:val="24"/>
                <w:lang w:eastAsia="lv-LV"/>
              </w:rPr>
              <w:t xml:space="preserve">noteikti </w:t>
            </w:r>
            <w:r w:rsidR="002E2076" w:rsidRPr="00894D21">
              <w:rPr>
                <w:rFonts w:ascii="Times New Roman" w:eastAsia="Times New Roman" w:hAnsi="Times New Roman" w:cs="Times New Roman"/>
                <w:sz w:val="24"/>
                <w:szCs w:val="24"/>
                <w:lang w:eastAsia="lv-LV"/>
              </w:rPr>
              <w:t>katram pārskatam</w:t>
            </w:r>
            <w:r w:rsidRPr="00894D21">
              <w:rPr>
                <w:rFonts w:ascii="Times New Roman" w:eastAsia="Times New Roman" w:hAnsi="Times New Roman" w:cs="Times New Roman"/>
                <w:sz w:val="24"/>
                <w:szCs w:val="24"/>
                <w:lang w:eastAsia="lv-LV"/>
              </w:rPr>
              <w:t xml:space="preserve"> </w:t>
            </w:r>
            <w:r w:rsidR="002E2076" w:rsidRPr="00894D21">
              <w:rPr>
                <w:rFonts w:ascii="Times New Roman" w:eastAsia="Times New Roman" w:hAnsi="Times New Roman" w:cs="Times New Roman"/>
                <w:sz w:val="24"/>
                <w:szCs w:val="24"/>
                <w:lang w:eastAsia="lv-LV"/>
              </w:rPr>
              <w:t xml:space="preserve">atsevišķi </w:t>
            </w:r>
            <w:r w:rsidRPr="00894D21">
              <w:rPr>
                <w:rFonts w:ascii="Times New Roman" w:eastAsia="Times New Roman" w:hAnsi="Times New Roman" w:cs="Times New Roman"/>
                <w:sz w:val="24"/>
                <w:szCs w:val="24"/>
                <w:lang w:eastAsia="lv-LV"/>
              </w:rPr>
              <w:t>noteikumu projekta attiecīgajā nodaļā.</w:t>
            </w:r>
          </w:p>
          <w:p w14:paraId="5BF24571" w14:textId="7B1CC895" w:rsidR="00BF3F58" w:rsidRPr="00BF3F58" w:rsidRDefault="00BF3F58" w:rsidP="00B917A7">
            <w:pPr>
              <w:spacing w:after="120" w:line="240" w:lineRule="auto"/>
              <w:jc w:val="both"/>
              <w:rPr>
                <w:rFonts w:ascii="Times New Roman" w:eastAsia="Times New Roman" w:hAnsi="Times New Roman" w:cs="Times New Roman"/>
                <w:sz w:val="24"/>
                <w:szCs w:val="24"/>
                <w:lang w:eastAsia="lv-LV"/>
              </w:rPr>
            </w:pPr>
            <w:bookmarkStart w:id="0" w:name="_Hlk165369027"/>
            <w:r w:rsidRPr="00BF3F58">
              <w:rPr>
                <w:rFonts w:ascii="Times New Roman" w:eastAsia="Times New Roman" w:hAnsi="Times New Roman" w:cs="Times New Roman"/>
                <w:sz w:val="24"/>
                <w:szCs w:val="24"/>
                <w:lang w:eastAsia="lv-LV"/>
              </w:rPr>
              <w:t>Apdrošināšanas un pārapdrošināšanas likuma 41.</w:t>
            </w:r>
            <w:r w:rsidR="00B917A7">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 xml:space="preserve">panta astotā daļa </w:t>
            </w:r>
            <w:r w:rsidR="00646AD1" w:rsidRPr="00BF3F58">
              <w:rPr>
                <w:rFonts w:ascii="Times New Roman" w:eastAsia="Times New Roman" w:hAnsi="Times New Roman" w:cs="Times New Roman"/>
                <w:sz w:val="24"/>
                <w:szCs w:val="24"/>
                <w:lang w:eastAsia="lv-LV"/>
              </w:rPr>
              <w:t xml:space="preserve">nosaka, ka Latvijas Banka ir tiesīga pieprasīt </w:t>
            </w:r>
            <w:r w:rsidRPr="00BF3F58">
              <w:rPr>
                <w:rFonts w:ascii="Times New Roman" w:eastAsia="Times New Roman" w:hAnsi="Times New Roman" w:cs="Times New Roman"/>
                <w:sz w:val="24"/>
                <w:szCs w:val="24"/>
                <w:lang w:eastAsia="lv-LV"/>
              </w:rPr>
              <w:t xml:space="preserve">apdrošinātājam un </w:t>
            </w:r>
            <w:proofErr w:type="spellStart"/>
            <w:r w:rsidRPr="00BF3F58">
              <w:rPr>
                <w:rFonts w:ascii="Times New Roman" w:eastAsia="Times New Roman" w:hAnsi="Times New Roman" w:cs="Times New Roman"/>
                <w:sz w:val="24"/>
                <w:szCs w:val="24"/>
                <w:lang w:eastAsia="lv-LV"/>
              </w:rPr>
              <w:t>pārapdrošinātājam</w:t>
            </w:r>
            <w:proofErr w:type="spellEnd"/>
            <w:r w:rsidRPr="00BF3F58">
              <w:rPr>
                <w:rFonts w:ascii="Times New Roman" w:eastAsia="Times New Roman" w:hAnsi="Times New Roman" w:cs="Times New Roman"/>
                <w:sz w:val="24"/>
                <w:szCs w:val="24"/>
                <w:lang w:eastAsia="lv-LV"/>
              </w:rPr>
              <w:t xml:space="preserve"> pārskatus par tā darbību, nosakot šo pārskatu formu, saturu, iesniegšanas kārtību un termiņus. </w:t>
            </w:r>
          </w:p>
          <w:p w14:paraId="341892F1" w14:textId="6887F478" w:rsidR="0003113C" w:rsidRPr="0003113C" w:rsidRDefault="00BF3F58" w:rsidP="00B917A7">
            <w:pPr>
              <w:pStyle w:val="Heading2"/>
              <w:tabs>
                <w:tab w:val="clear" w:pos="576"/>
                <w:tab w:val="num" w:pos="0"/>
              </w:tabs>
              <w:spacing w:after="120"/>
              <w:ind w:left="0" w:firstLine="0"/>
              <w:rPr>
                <w:lang w:val="lv-LV" w:eastAsia="lv-LV"/>
              </w:rPr>
            </w:pPr>
            <w:r w:rsidRPr="00BF3F58">
              <w:rPr>
                <w:rFonts w:eastAsia="Times New Roman"/>
                <w:lang w:val="lv-LV" w:eastAsia="lv-LV"/>
              </w:rPr>
              <w:t>Apdrošināšanas un pārapdrošināšanas likuma</w:t>
            </w:r>
            <w:r w:rsidR="006C3828" w:rsidRPr="00894D21">
              <w:rPr>
                <w:rFonts w:eastAsia="Times New Roman"/>
                <w:lang w:val="lv-LV" w:eastAsia="lv-LV"/>
              </w:rPr>
              <w:t xml:space="preserve"> </w:t>
            </w:r>
            <w:r w:rsidRPr="00BF3F58">
              <w:rPr>
                <w:rFonts w:eastAsia="Times New Roman"/>
                <w:lang w:val="lv-LV" w:eastAsia="lv-LV"/>
              </w:rPr>
              <w:t>71.</w:t>
            </w:r>
            <w:r w:rsidR="00B917A7">
              <w:rPr>
                <w:rFonts w:eastAsia="Times New Roman"/>
                <w:lang w:val="lv-LV" w:eastAsia="lv-LV"/>
              </w:rPr>
              <w:t> </w:t>
            </w:r>
            <w:r w:rsidRPr="00BF3F58">
              <w:rPr>
                <w:rFonts w:eastAsia="Times New Roman"/>
                <w:lang w:val="lv-LV" w:eastAsia="lv-LV"/>
              </w:rPr>
              <w:t>panta ceturt</w:t>
            </w:r>
            <w:r w:rsidR="0003113C">
              <w:rPr>
                <w:rFonts w:eastAsia="Times New Roman"/>
                <w:lang w:val="lv-LV" w:eastAsia="lv-LV"/>
              </w:rPr>
              <w:t>ā</w:t>
            </w:r>
            <w:r w:rsidRPr="00BF3F58">
              <w:rPr>
                <w:rFonts w:eastAsia="Times New Roman"/>
                <w:lang w:val="lv-LV" w:eastAsia="lv-LV"/>
              </w:rPr>
              <w:t xml:space="preserve"> daļ</w:t>
            </w:r>
            <w:r w:rsidR="0003113C">
              <w:rPr>
                <w:rFonts w:eastAsia="Times New Roman"/>
                <w:lang w:val="lv-LV" w:eastAsia="lv-LV"/>
              </w:rPr>
              <w:t>a</w:t>
            </w:r>
            <w:r w:rsidR="007B1B00" w:rsidRPr="00894D21">
              <w:rPr>
                <w:rFonts w:eastAsia="Times New Roman"/>
                <w:lang w:val="lv-LV" w:eastAsia="lv-LV"/>
              </w:rPr>
              <w:t xml:space="preserve"> </w:t>
            </w:r>
            <w:r w:rsidR="009607EA" w:rsidRPr="00894D21">
              <w:rPr>
                <w:rFonts w:eastAsia="Times New Roman"/>
                <w:lang w:val="lv-LV" w:eastAsia="lv-LV"/>
              </w:rPr>
              <w:t xml:space="preserve">dod Latvijas Bankai tiesības </w:t>
            </w:r>
            <w:r w:rsidR="00E037FB" w:rsidRPr="00894D21">
              <w:rPr>
                <w:rFonts w:eastAsia="Times New Roman"/>
                <w:lang w:val="lv-LV" w:eastAsia="lv-LV"/>
              </w:rPr>
              <w:t xml:space="preserve">noteikt </w:t>
            </w:r>
            <w:r w:rsidR="0003113C" w:rsidRPr="0003113C">
              <w:rPr>
                <w:rFonts w:eastAsia="Times New Roman"/>
                <w:lang w:val="lv-LV" w:eastAsia="lv-LV"/>
              </w:rPr>
              <w:t xml:space="preserve">kārtību, kādā sagatavojami pārskati par </w:t>
            </w:r>
            <w:r w:rsidR="0003113C">
              <w:rPr>
                <w:rFonts w:eastAsia="Times New Roman"/>
                <w:lang w:val="lv-LV" w:eastAsia="lv-LV"/>
              </w:rPr>
              <w:t xml:space="preserve">saņemtajām </w:t>
            </w:r>
            <w:r w:rsidR="0003113C" w:rsidRPr="0003113C">
              <w:rPr>
                <w:rFonts w:eastAsia="Times New Roman"/>
                <w:lang w:val="lv-LV" w:eastAsia="lv-LV"/>
              </w:rPr>
              <w:t>sūdzībām</w:t>
            </w:r>
            <w:r w:rsidR="0003113C">
              <w:rPr>
                <w:rFonts w:eastAsia="Times New Roman"/>
                <w:lang w:val="lv-LV" w:eastAsia="lv-LV"/>
              </w:rPr>
              <w:t>.</w:t>
            </w:r>
            <w:r w:rsidR="002866A5">
              <w:rPr>
                <w:rFonts w:eastAsia="Times New Roman"/>
                <w:lang w:val="lv-LV" w:eastAsia="lv-LV"/>
              </w:rPr>
              <w:t xml:space="preserve"> </w:t>
            </w:r>
            <w:r w:rsidR="002866A5" w:rsidRPr="00BF3F58">
              <w:rPr>
                <w:rFonts w:eastAsia="Times New Roman"/>
                <w:lang w:val="lv-LV" w:eastAsia="lv-LV"/>
              </w:rPr>
              <w:t>Apdrošināšanas un pārapdrošināšanas likuma</w:t>
            </w:r>
            <w:r w:rsidR="002866A5" w:rsidRPr="00894D21">
              <w:rPr>
                <w:rFonts w:eastAsia="Times New Roman"/>
                <w:lang w:val="lv-LV" w:eastAsia="lv-LV"/>
              </w:rPr>
              <w:t xml:space="preserve"> </w:t>
            </w:r>
            <w:r w:rsidR="002866A5" w:rsidRPr="00BF3F58">
              <w:rPr>
                <w:rFonts w:eastAsia="Times New Roman"/>
                <w:lang w:val="lv-LV" w:eastAsia="lv-LV"/>
              </w:rPr>
              <w:t>71.</w:t>
            </w:r>
            <w:r w:rsidR="00B917A7">
              <w:rPr>
                <w:rFonts w:eastAsia="Times New Roman"/>
                <w:lang w:val="lv-LV" w:eastAsia="lv-LV"/>
              </w:rPr>
              <w:t> </w:t>
            </w:r>
            <w:r w:rsidR="002866A5" w:rsidRPr="00BF3F58">
              <w:rPr>
                <w:rFonts w:eastAsia="Times New Roman"/>
                <w:lang w:val="lv-LV" w:eastAsia="lv-LV"/>
              </w:rPr>
              <w:t>panta</w:t>
            </w:r>
            <w:r w:rsidR="002866A5">
              <w:rPr>
                <w:rFonts w:eastAsia="Times New Roman"/>
                <w:lang w:val="lv-LV" w:eastAsia="lv-LV"/>
              </w:rPr>
              <w:t xml:space="preserve"> prasības ir attiecināmas uz apdrošināšanas sabiedrībām un pārapdrošināšanas sabiedrībām. </w:t>
            </w:r>
          </w:p>
          <w:bookmarkEnd w:id="0"/>
          <w:p w14:paraId="096E4895" w14:textId="66E34209" w:rsidR="005274E9" w:rsidRDefault="005274E9" w:rsidP="00B917A7">
            <w:pPr>
              <w:pStyle w:val="Heading2"/>
              <w:tabs>
                <w:tab w:val="clear" w:pos="576"/>
                <w:tab w:val="num" w:pos="0"/>
              </w:tabs>
              <w:spacing w:after="120"/>
              <w:ind w:left="0" w:firstLine="0"/>
              <w:rPr>
                <w:rFonts w:eastAsia="Times New Roman"/>
                <w:lang w:val="lv-LV" w:eastAsia="lv-LV"/>
              </w:rPr>
            </w:pPr>
            <w:r w:rsidRPr="005274E9">
              <w:rPr>
                <w:rFonts w:eastAsia="Times New Roman"/>
                <w:lang w:val="lv-LV" w:eastAsia="lv-LV"/>
              </w:rPr>
              <w:t>Lai sekmētu vienotu, precīzu un konsekventu regulējošo prasību piemērošanu attiecībā uz informācijas sniegšanu par darbību apdrošināšanas vai pārapdrošināšanas pakalpojumu jomā, ir lietderīgi izdot ārējo normatīvo aktu, kas būs saistošs attiecīgajiem finanšu tirgus dalībniekiem.</w:t>
            </w:r>
          </w:p>
          <w:p w14:paraId="68B79423" w14:textId="565F91B6" w:rsidR="005274E9" w:rsidRPr="005274E9" w:rsidRDefault="005274E9" w:rsidP="00B917A7">
            <w:pPr>
              <w:pStyle w:val="BodyText"/>
              <w:spacing w:line="240" w:lineRule="auto"/>
              <w:jc w:val="both"/>
              <w:rPr>
                <w:rFonts w:ascii="Times New Roman" w:eastAsia="Times New Roman" w:hAnsi="Times New Roman" w:cs="Times New Roman"/>
                <w:color w:val="000000"/>
                <w:sz w:val="24"/>
                <w:szCs w:val="24"/>
                <w:lang w:eastAsia="lv-LV"/>
              </w:rPr>
            </w:pPr>
            <w:r w:rsidRPr="005274E9">
              <w:rPr>
                <w:rFonts w:ascii="Times New Roman" w:eastAsia="Times New Roman" w:hAnsi="Times New Roman" w:cs="Times New Roman"/>
                <w:color w:val="000000"/>
                <w:sz w:val="24"/>
                <w:szCs w:val="24"/>
                <w:lang w:eastAsia="lv-LV"/>
              </w:rPr>
              <w:lastRenderedPageBreak/>
              <w:t xml:space="preserve">Noteikumu projekts nosaka </w:t>
            </w:r>
            <w:r>
              <w:rPr>
                <w:rFonts w:ascii="Times New Roman" w:eastAsia="Times New Roman" w:hAnsi="Times New Roman" w:cs="Times New Roman"/>
                <w:color w:val="000000"/>
                <w:sz w:val="24"/>
                <w:szCs w:val="24"/>
                <w:lang w:eastAsia="lv-LV"/>
              </w:rPr>
              <w:t>Latvijas Bankai</w:t>
            </w:r>
            <w:r w:rsidRPr="005274E9">
              <w:rPr>
                <w:rFonts w:ascii="Times New Roman" w:eastAsia="Times New Roman" w:hAnsi="Times New Roman" w:cs="Times New Roman"/>
                <w:color w:val="000000"/>
                <w:sz w:val="24"/>
                <w:szCs w:val="24"/>
                <w:lang w:eastAsia="lv-LV"/>
              </w:rPr>
              <w:t xml:space="preserve"> iesniedzamo gada un ceturkšņa darbības pārskatu saturu, formu, iesniegšanas kārtību un termiņus.</w:t>
            </w:r>
          </w:p>
          <w:p w14:paraId="50C8DFAD" w14:textId="374B2881" w:rsidR="005274E9" w:rsidRDefault="005274E9" w:rsidP="00B917A7">
            <w:pPr>
              <w:pStyle w:val="BodyText"/>
              <w:spacing w:line="240" w:lineRule="auto"/>
              <w:jc w:val="both"/>
              <w:rPr>
                <w:rFonts w:ascii="Times New Roman" w:eastAsia="Times New Roman" w:hAnsi="Times New Roman" w:cs="Times New Roman"/>
                <w:color w:val="000000"/>
                <w:sz w:val="24"/>
                <w:szCs w:val="24"/>
                <w:lang w:eastAsia="lv-LV"/>
              </w:rPr>
            </w:pPr>
            <w:r w:rsidRPr="005274E9">
              <w:rPr>
                <w:rFonts w:ascii="Times New Roman" w:eastAsia="Times New Roman" w:hAnsi="Times New Roman" w:cs="Times New Roman"/>
                <w:color w:val="000000"/>
                <w:sz w:val="24"/>
                <w:szCs w:val="24"/>
                <w:lang w:eastAsia="lv-LV"/>
              </w:rPr>
              <w:t xml:space="preserve">Noteikumu projektā noteiktās prasības papildina Komisijas </w:t>
            </w:r>
            <w:r w:rsidR="002866A5" w:rsidRPr="005274E9">
              <w:rPr>
                <w:rFonts w:ascii="Times New Roman" w:eastAsia="Times New Roman" w:hAnsi="Times New Roman" w:cs="Times New Roman"/>
                <w:color w:val="000000"/>
                <w:sz w:val="24"/>
                <w:szCs w:val="24"/>
                <w:lang w:eastAsia="lv-LV"/>
              </w:rPr>
              <w:t>2023.</w:t>
            </w:r>
            <w:r w:rsidR="00B917A7">
              <w:rPr>
                <w:rFonts w:ascii="Times New Roman" w:eastAsia="Times New Roman" w:hAnsi="Times New Roman" w:cs="Times New Roman"/>
                <w:color w:val="000000"/>
                <w:sz w:val="24"/>
                <w:szCs w:val="24"/>
                <w:lang w:eastAsia="lv-LV"/>
              </w:rPr>
              <w:t> </w:t>
            </w:r>
            <w:r w:rsidR="002866A5" w:rsidRPr="005274E9">
              <w:rPr>
                <w:rFonts w:ascii="Times New Roman" w:eastAsia="Times New Roman" w:hAnsi="Times New Roman" w:cs="Times New Roman"/>
                <w:color w:val="000000"/>
                <w:sz w:val="24"/>
                <w:szCs w:val="24"/>
                <w:lang w:eastAsia="lv-LV"/>
              </w:rPr>
              <w:t>gada 4.</w:t>
            </w:r>
            <w:r w:rsidR="00B917A7">
              <w:rPr>
                <w:rFonts w:ascii="Times New Roman" w:eastAsia="Times New Roman" w:hAnsi="Times New Roman" w:cs="Times New Roman"/>
                <w:color w:val="000000"/>
                <w:sz w:val="24"/>
                <w:szCs w:val="24"/>
                <w:lang w:eastAsia="lv-LV"/>
              </w:rPr>
              <w:t> </w:t>
            </w:r>
            <w:r w:rsidR="002866A5" w:rsidRPr="005274E9">
              <w:rPr>
                <w:rFonts w:ascii="Times New Roman" w:eastAsia="Times New Roman" w:hAnsi="Times New Roman" w:cs="Times New Roman"/>
                <w:color w:val="000000"/>
                <w:sz w:val="24"/>
                <w:szCs w:val="24"/>
                <w:lang w:eastAsia="lv-LV"/>
              </w:rPr>
              <w:t>aprī</w:t>
            </w:r>
            <w:r w:rsidR="002866A5">
              <w:rPr>
                <w:rFonts w:ascii="Times New Roman" w:eastAsia="Times New Roman" w:hAnsi="Times New Roman" w:cs="Times New Roman"/>
                <w:color w:val="000000"/>
                <w:sz w:val="24"/>
                <w:szCs w:val="24"/>
                <w:lang w:eastAsia="lv-LV"/>
              </w:rPr>
              <w:t>ļa</w:t>
            </w:r>
            <w:r w:rsidR="002866A5" w:rsidRPr="005274E9">
              <w:rPr>
                <w:rFonts w:ascii="Times New Roman" w:eastAsia="Times New Roman" w:hAnsi="Times New Roman" w:cs="Times New Roman"/>
                <w:color w:val="000000"/>
                <w:sz w:val="24"/>
                <w:szCs w:val="24"/>
                <w:lang w:eastAsia="lv-LV"/>
              </w:rPr>
              <w:t xml:space="preserve"> </w:t>
            </w:r>
            <w:r w:rsidR="002866A5">
              <w:rPr>
                <w:rFonts w:ascii="Times New Roman" w:eastAsia="Times New Roman" w:hAnsi="Times New Roman" w:cs="Times New Roman"/>
                <w:color w:val="000000"/>
                <w:sz w:val="24"/>
                <w:szCs w:val="24"/>
                <w:lang w:eastAsia="lv-LV"/>
              </w:rPr>
              <w:t>ī</w:t>
            </w:r>
            <w:r w:rsidRPr="005274E9">
              <w:rPr>
                <w:rFonts w:ascii="Times New Roman" w:eastAsia="Times New Roman" w:hAnsi="Times New Roman" w:cs="Times New Roman"/>
                <w:color w:val="000000"/>
                <w:sz w:val="24"/>
                <w:szCs w:val="24"/>
                <w:lang w:eastAsia="lv-LV"/>
              </w:rPr>
              <w:t xml:space="preserve">stenošanas </w:t>
            </w:r>
            <w:r w:rsidR="002866A5">
              <w:rPr>
                <w:rFonts w:ascii="Times New Roman" w:eastAsia="Times New Roman" w:hAnsi="Times New Roman" w:cs="Times New Roman"/>
                <w:color w:val="000000"/>
                <w:sz w:val="24"/>
                <w:szCs w:val="24"/>
                <w:lang w:eastAsia="lv-LV"/>
              </w:rPr>
              <w:t>r</w:t>
            </w:r>
            <w:r w:rsidRPr="005274E9">
              <w:rPr>
                <w:rFonts w:ascii="Times New Roman" w:eastAsia="Times New Roman" w:hAnsi="Times New Roman" w:cs="Times New Roman"/>
                <w:color w:val="000000"/>
                <w:sz w:val="24"/>
                <w:szCs w:val="24"/>
                <w:lang w:eastAsia="lv-LV"/>
              </w:rPr>
              <w:t>egulas (ES)</w:t>
            </w:r>
            <w:r w:rsidR="00B917A7">
              <w:rPr>
                <w:rFonts w:ascii="Times New Roman" w:eastAsia="Times New Roman" w:hAnsi="Times New Roman" w:cs="Times New Roman"/>
                <w:color w:val="000000"/>
                <w:sz w:val="24"/>
                <w:szCs w:val="24"/>
                <w:lang w:eastAsia="lv-LV"/>
              </w:rPr>
              <w:t> </w:t>
            </w:r>
            <w:r w:rsidRPr="005274E9">
              <w:rPr>
                <w:rFonts w:ascii="Times New Roman" w:eastAsia="Times New Roman" w:hAnsi="Times New Roman" w:cs="Times New Roman"/>
                <w:color w:val="000000"/>
                <w:sz w:val="24"/>
                <w:szCs w:val="24"/>
                <w:lang w:eastAsia="lv-LV"/>
              </w:rPr>
              <w:t xml:space="preserve">2023/894, ar ko nosaka īstenošanas tehniskos standartus Eiropas Parlamenta un Padomes </w:t>
            </w:r>
            <w:r w:rsidR="002A59C8" w:rsidRPr="005274E9">
              <w:rPr>
                <w:rFonts w:ascii="Times New Roman" w:eastAsia="Times New Roman" w:hAnsi="Times New Roman" w:cs="Times New Roman"/>
                <w:color w:val="000000"/>
                <w:sz w:val="24"/>
                <w:szCs w:val="24"/>
                <w:lang w:eastAsia="lv-LV"/>
              </w:rPr>
              <w:t>direktīvas</w:t>
            </w:r>
            <w:r w:rsidR="002A59C8">
              <w:rPr>
                <w:rFonts w:ascii="Times New Roman" w:eastAsia="Times New Roman" w:hAnsi="Times New Roman" w:cs="Times New Roman"/>
                <w:color w:val="000000"/>
                <w:sz w:val="24"/>
                <w:szCs w:val="24"/>
                <w:lang w:eastAsia="lv-LV"/>
              </w:rPr>
              <w:t> </w:t>
            </w:r>
            <w:r w:rsidRPr="005274E9">
              <w:rPr>
                <w:rFonts w:ascii="Times New Roman" w:eastAsia="Times New Roman" w:hAnsi="Times New Roman" w:cs="Times New Roman"/>
                <w:color w:val="000000"/>
                <w:sz w:val="24"/>
                <w:szCs w:val="24"/>
                <w:lang w:eastAsia="lv-LV"/>
              </w:rPr>
              <w:t xml:space="preserve">2009/138/EK piemērošanai attiecībā uz veidnēm, kuras apdrošināšanas un pārapdrošināšanas sabiedrības izmanto, lai iesniegtu savām uzraudzības iestādēm informāciju, kas nepieciešama to uzraudzībai, un ar ko atceļ </w:t>
            </w:r>
            <w:r w:rsidR="002A59C8" w:rsidRPr="005274E9">
              <w:rPr>
                <w:rFonts w:ascii="Times New Roman" w:eastAsia="Times New Roman" w:hAnsi="Times New Roman" w:cs="Times New Roman"/>
                <w:color w:val="000000"/>
                <w:sz w:val="24"/>
                <w:szCs w:val="24"/>
                <w:lang w:eastAsia="lv-LV"/>
              </w:rPr>
              <w:t xml:space="preserve">īstenošanas </w:t>
            </w:r>
            <w:r w:rsidRPr="005274E9">
              <w:rPr>
                <w:rFonts w:ascii="Times New Roman" w:eastAsia="Times New Roman" w:hAnsi="Times New Roman" w:cs="Times New Roman"/>
                <w:color w:val="000000"/>
                <w:sz w:val="24"/>
                <w:szCs w:val="24"/>
                <w:lang w:eastAsia="lv-LV"/>
              </w:rPr>
              <w:t>regulu (ES)</w:t>
            </w:r>
            <w:r w:rsidR="00B917A7">
              <w:rPr>
                <w:rFonts w:ascii="Times New Roman" w:eastAsia="Times New Roman" w:hAnsi="Times New Roman" w:cs="Times New Roman"/>
                <w:color w:val="000000"/>
                <w:sz w:val="24"/>
                <w:szCs w:val="24"/>
                <w:lang w:eastAsia="lv-LV"/>
              </w:rPr>
              <w:t> </w:t>
            </w:r>
            <w:r w:rsidRPr="005274E9">
              <w:rPr>
                <w:rFonts w:ascii="Times New Roman" w:eastAsia="Times New Roman" w:hAnsi="Times New Roman" w:cs="Times New Roman"/>
                <w:color w:val="000000"/>
                <w:sz w:val="24"/>
                <w:szCs w:val="24"/>
                <w:lang w:eastAsia="lv-LV"/>
              </w:rPr>
              <w:t>2015/2450 (</w:t>
            </w:r>
            <w:r w:rsidR="002866A5">
              <w:rPr>
                <w:rFonts w:ascii="Times New Roman" w:eastAsia="Times New Roman" w:hAnsi="Times New Roman" w:cs="Times New Roman"/>
                <w:color w:val="000000"/>
                <w:sz w:val="24"/>
                <w:szCs w:val="24"/>
                <w:lang w:eastAsia="lv-LV"/>
              </w:rPr>
              <w:t>turpmāk</w:t>
            </w:r>
            <w:r w:rsidR="00B917A7">
              <w:rPr>
                <w:rFonts w:ascii="Times New Roman" w:eastAsia="Times New Roman" w:hAnsi="Times New Roman" w:cs="Times New Roman"/>
                <w:color w:val="000000"/>
                <w:sz w:val="24"/>
                <w:szCs w:val="24"/>
                <w:lang w:eastAsia="lv-LV"/>
              </w:rPr>
              <w:t> </w:t>
            </w:r>
            <w:r w:rsidRPr="005274E9">
              <w:rPr>
                <w:rFonts w:ascii="Times New Roman" w:eastAsia="Times New Roman" w:hAnsi="Times New Roman" w:cs="Times New Roman"/>
                <w:color w:val="000000"/>
                <w:sz w:val="24"/>
                <w:szCs w:val="24"/>
                <w:lang w:eastAsia="lv-LV"/>
              </w:rPr>
              <w:t>– ES regula Nr.</w:t>
            </w:r>
            <w:r w:rsidR="00B917A7">
              <w:rPr>
                <w:rFonts w:ascii="Times New Roman" w:eastAsia="Times New Roman" w:hAnsi="Times New Roman" w:cs="Times New Roman"/>
                <w:color w:val="000000"/>
                <w:sz w:val="24"/>
                <w:szCs w:val="24"/>
                <w:lang w:eastAsia="lv-LV"/>
              </w:rPr>
              <w:t> </w:t>
            </w:r>
            <w:r w:rsidRPr="005274E9">
              <w:rPr>
                <w:rFonts w:ascii="Times New Roman" w:eastAsia="Times New Roman" w:hAnsi="Times New Roman" w:cs="Times New Roman"/>
                <w:color w:val="000000"/>
                <w:sz w:val="24"/>
                <w:szCs w:val="24"/>
                <w:lang w:eastAsia="lv-LV"/>
              </w:rPr>
              <w:t>2023/894) prasības.</w:t>
            </w:r>
          </w:p>
          <w:p w14:paraId="25A8008F" w14:textId="59C95850" w:rsidR="00664E5A" w:rsidRDefault="00821EA1" w:rsidP="00B917A7">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Lai iegūtu informāciju </w:t>
            </w:r>
            <w:r w:rsidRPr="00821EA1">
              <w:rPr>
                <w:rFonts w:ascii="Times New Roman" w:eastAsia="Times New Roman" w:hAnsi="Times New Roman" w:cs="Times New Roman"/>
                <w:color w:val="000000"/>
                <w:sz w:val="24"/>
                <w:szCs w:val="24"/>
                <w:lang w:eastAsia="lv-LV"/>
              </w:rPr>
              <w:t xml:space="preserve">Eiropas Centrālās bankas </w:t>
            </w:r>
            <w:r w:rsidR="002866A5" w:rsidRPr="00821EA1">
              <w:rPr>
                <w:rFonts w:ascii="Times New Roman" w:eastAsia="Times New Roman" w:hAnsi="Times New Roman" w:cs="Times New Roman"/>
                <w:color w:val="000000"/>
                <w:sz w:val="24"/>
                <w:szCs w:val="24"/>
                <w:lang w:eastAsia="lv-LV"/>
              </w:rPr>
              <w:t>2014.</w:t>
            </w:r>
            <w:r w:rsidR="00B917A7">
              <w:t> </w:t>
            </w:r>
            <w:r w:rsidR="002866A5" w:rsidRPr="00821EA1">
              <w:rPr>
                <w:rFonts w:ascii="Times New Roman" w:eastAsia="Times New Roman" w:hAnsi="Times New Roman" w:cs="Times New Roman"/>
                <w:color w:val="000000"/>
                <w:sz w:val="24"/>
                <w:szCs w:val="24"/>
                <w:lang w:eastAsia="lv-LV"/>
              </w:rPr>
              <w:t>gada 28.</w:t>
            </w:r>
            <w:r w:rsidR="00B917A7">
              <w:rPr>
                <w:rFonts w:ascii="Times New Roman" w:eastAsia="Times New Roman" w:hAnsi="Times New Roman" w:cs="Times New Roman"/>
                <w:color w:val="000000"/>
                <w:sz w:val="24"/>
                <w:szCs w:val="24"/>
                <w:lang w:eastAsia="lv-LV"/>
              </w:rPr>
              <w:t> </w:t>
            </w:r>
            <w:r w:rsidR="002866A5" w:rsidRPr="00821EA1">
              <w:rPr>
                <w:rFonts w:ascii="Times New Roman" w:eastAsia="Times New Roman" w:hAnsi="Times New Roman" w:cs="Times New Roman"/>
                <w:color w:val="000000"/>
                <w:sz w:val="24"/>
                <w:szCs w:val="24"/>
                <w:lang w:eastAsia="lv-LV"/>
              </w:rPr>
              <w:t>novembr</w:t>
            </w:r>
            <w:r w:rsidR="002866A5">
              <w:rPr>
                <w:rFonts w:ascii="Times New Roman" w:eastAsia="Times New Roman" w:hAnsi="Times New Roman" w:cs="Times New Roman"/>
                <w:color w:val="000000"/>
                <w:sz w:val="24"/>
                <w:szCs w:val="24"/>
                <w:lang w:eastAsia="lv-LV"/>
              </w:rPr>
              <w:t>a</w:t>
            </w:r>
            <w:r w:rsidR="002866A5" w:rsidRPr="00821EA1">
              <w:rPr>
                <w:rFonts w:ascii="Times New Roman" w:eastAsia="Times New Roman" w:hAnsi="Times New Roman" w:cs="Times New Roman"/>
                <w:color w:val="000000"/>
                <w:sz w:val="24"/>
                <w:szCs w:val="24"/>
                <w:lang w:eastAsia="lv-LV"/>
              </w:rPr>
              <w:t xml:space="preserve"> </w:t>
            </w:r>
            <w:r w:rsidR="002A59C8" w:rsidRPr="00821EA1">
              <w:rPr>
                <w:rFonts w:ascii="Times New Roman" w:eastAsia="Times New Roman" w:hAnsi="Times New Roman" w:cs="Times New Roman"/>
                <w:color w:val="000000"/>
                <w:sz w:val="24"/>
                <w:szCs w:val="24"/>
                <w:lang w:eastAsia="lv-LV"/>
              </w:rPr>
              <w:t xml:space="preserve">regulas </w:t>
            </w:r>
            <w:r w:rsidRPr="00821EA1">
              <w:rPr>
                <w:rFonts w:ascii="Times New Roman" w:eastAsia="Times New Roman" w:hAnsi="Times New Roman" w:cs="Times New Roman"/>
                <w:color w:val="000000"/>
                <w:sz w:val="24"/>
                <w:szCs w:val="24"/>
                <w:lang w:eastAsia="lv-LV"/>
              </w:rPr>
              <w:t>(ES) Nr.</w:t>
            </w:r>
            <w:r w:rsidR="00B917A7">
              <w:rPr>
                <w:rFonts w:ascii="Times New Roman" w:eastAsia="Times New Roman" w:hAnsi="Times New Roman" w:cs="Times New Roman"/>
                <w:color w:val="000000"/>
                <w:sz w:val="24"/>
                <w:szCs w:val="24"/>
                <w:lang w:eastAsia="lv-LV"/>
              </w:rPr>
              <w:t> </w:t>
            </w:r>
            <w:r w:rsidRPr="00821EA1">
              <w:rPr>
                <w:rFonts w:ascii="Times New Roman" w:eastAsia="Times New Roman" w:hAnsi="Times New Roman" w:cs="Times New Roman"/>
                <w:color w:val="000000"/>
                <w:sz w:val="24"/>
                <w:szCs w:val="24"/>
                <w:lang w:eastAsia="lv-LV"/>
              </w:rPr>
              <w:t>1374/2014 par statistikas pārskatu sniegšanas prasībām apdrošināšanas sabiedrībām (</w:t>
            </w:r>
            <w:r w:rsidR="002866A5">
              <w:rPr>
                <w:rFonts w:ascii="Times New Roman" w:eastAsia="Times New Roman" w:hAnsi="Times New Roman" w:cs="Times New Roman"/>
                <w:color w:val="000000"/>
                <w:sz w:val="24"/>
                <w:szCs w:val="24"/>
                <w:lang w:eastAsia="lv-LV"/>
              </w:rPr>
              <w:t>turpmāk</w:t>
            </w:r>
            <w:r w:rsidR="00B917A7">
              <w:rPr>
                <w:rFonts w:ascii="Times New Roman" w:eastAsia="Times New Roman" w:hAnsi="Times New Roman" w:cs="Times New Roman"/>
                <w:color w:val="000000"/>
                <w:sz w:val="24"/>
                <w:szCs w:val="24"/>
                <w:lang w:eastAsia="lv-LV"/>
              </w:rPr>
              <w:t> </w:t>
            </w:r>
            <w:r w:rsidRPr="00821EA1">
              <w:rPr>
                <w:rFonts w:ascii="Times New Roman" w:eastAsia="Times New Roman" w:hAnsi="Times New Roman" w:cs="Times New Roman"/>
                <w:color w:val="000000"/>
                <w:sz w:val="24"/>
                <w:szCs w:val="24"/>
                <w:lang w:eastAsia="lv-LV"/>
              </w:rPr>
              <w:t>– ECB regula Nr.</w:t>
            </w:r>
            <w:r w:rsidR="00B917A7">
              <w:rPr>
                <w:rFonts w:ascii="Times New Roman" w:eastAsia="Times New Roman" w:hAnsi="Times New Roman" w:cs="Times New Roman"/>
                <w:color w:val="000000"/>
                <w:sz w:val="24"/>
                <w:szCs w:val="24"/>
                <w:lang w:eastAsia="lv-LV"/>
              </w:rPr>
              <w:t> </w:t>
            </w:r>
            <w:r w:rsidRPr="00821EA1">
              <w:rPr>
                <w:rFonts w:ascii="Times New Roman" w:eastAsia="Times New Roman" w:hAnsi="Times New Roman" w:cs="Times New Roman"/>
                <w:color w:val="000000"/>
                <w:sz w:val="24"/>
                <w:szCs w:val="24"/>
                <w:lang w:eastAsia="lv-LV"/>
              </w:rPr>
              <w:t>1374/2014)</w:t>
            </w:r>
            <w:r>
              <w:rPr>
                <w:rFonts w:ascii="Times New Roman" w:eastAsia="Times New Roman" w:hAnsi="Times New Roman" w:cs="Times New Roman"/>
                <w:color w:val="000000"/>
                <w:sz w:val="24"/>
                <w:szCs w:val="24"/>
                <w:lang w:eastAsia="lv-LV"/>
              </w:rPr>
              <w:t xml:space="preserve"> prasību izpildei, atsevišķ</w:t>
            </w:r>
            <w:r w:rsidR="002A59C8">
              <w:rPr>
                <w:rFonts w:ascii="Times New Roman" w:eastAsia="Times New Roman" w:hAnsi="Times New Roman" w:cs="Times New Roman"/>
                <w:color w:val="000000"/>
                <w:sz w:val="24"/>
                <w:szCs w:val="24"/>
                <w:lang w:eastAsia="lv-LV"/>
              </w:rPr>
              <w:t>ā</w:t>
            </w:r>
            <w:r>
              <w:rPr>
                <w:rFonts w:ascii="Times New Roman" w:eastAsia="Times New Roman" w:hAnsi="Times New Roman" w:cs="Times New Roman"/>
                <w:color w:val="000000"/>
                <w:sz w:val="24"/>
                <w:szCs w:val="24"/>
                <w:lang w:eastAsia="lv-LV"/>
              </w:rPr>
              <w:t xml:space="preserve">s apdrošināšanas </w:t>
            </w:r>
            <w:r w:rsidR="002866A5">
              <w:rPr>
                <w:rFonts w:ascii="Times New Roman" w:eastAsia="Times New Roman" w:hAnsi="Times New Roman" w:cs="Times New Roman"/>
                <w:color w:val="000000"/>
                <w:sz w:val="24"/>
                <w:szCs w:val="24"/>
                <w:lang w:eastAsia="lv-LV"/>
              </w:rPr>
              <w:t xml:space="preserve">sabiedrībām </w:t>
            </w:r>
            <w:r>
              <w:rPr>
                <w:rFonts w:ascii="Times New Roman" w:eastAsia="Times New Roman" w:hAnsi="Times New Roman" w:cs="Times New Roman"/>
                <w:color w:val="000000"/>
                <w:sz w:val="24"/>
                <w:szCs w:val="24"/>
                <w:lang w:eastAsia="lv-LV"/>
              </w:rPr>
              <w:t>vai pārapdrošināšanas sabiedrīb</w:t>
            </w:r>
            <w:r w:rsidR="002866A5">
              <w:rPr>
                <w:rFonts w:ascii="Times New Roman" w:eastAsia="Times New Roman" w:hAnsi="Times New Roman" w:cs="Times New Roman"/>
                <w:color w:val="000000"/>
                <w:sz w:val="24"/>
                <w:szCs w:val="24"/>
                <w:lang w:eastAsia="lv-LV"/>
              </w:rPr>
              <w:t>ām saistoš</w:t>
            </w:r>
            <w:r w:rsidR="00F4369C">
              <w:rPr>
                <w:rFonts w:ascii="Times New Roman" w:eastAsia="Times New Roman" w:hAnsi="Times New Roman" w:cs="Times New Roman"/>
                <w:color w:val="000000"/>
                <w:sz w:val="24"/>
                <w:szCs w:val="24"/>
                <w:lang w:eastAsia="lv-LV"/>
              </w:rPr>
              <w:t>aj</w:t>
            </w:r>
            <w:r w:rsidR="002866A5">
              <w:rPr>
                <w:rFonts w:ascii="Times New Roman" w:eastAsia="Times New Roman" w:hAnsi="Times New Roman" w:cs="Times New Roman"/>
                <w:color w:val="000000"/>
                <w:sz w:val="24"/>
                <w:szCs w:val="24"/>
                <w:lang w:eastAsia="lv-LV"/>
              </w:rPr>
              <w:t>ās</w:t>
            </w:r>
            <w:r>
              <w:rPr>
                <w:rFonts w:ascii="Times New Roman" w:eastAsia="Times New Roman" w:hAnsi="Times New Roman" w:cs="Times New Roman"/>
                <w:color w:val="000000"/>
                <w:sz w:val="24"/>
                <w:szCs w:val="24"/>
                <w:lang w:eastAsia="lv-LV"/>
              </w:rPr>
              <w:t xml:space="preserve"> </w:t>
            </w:r>
            <w:r w:rsidRPr="00821EA1">
              <w:rPr>
                <w:rFonts w:ascii="Times New Roman" w:eastAsia="Times New Roman" w:hAnsi="Times New Roman" w:cs="Times New Roman"/>
                <w:color w:val="000000"/>
                <w:sz w:val="24"/>
                <w:szCs w:val="24"/>
                <w:lang w:eastAsia="lv-LV"/>
              </w:rPr>
              <w:t>ES regulas Nr.</w:t>
            </w:r>
            <w:r w:rsidR="00B917A7">
              <w:rPr>
                <w:rFonts w:ascii="Times New Roman" w:eastAsia="Times New Roman" w:hAnsi="Times New Roman" w:cs="Times New Roman"/>
                <w:color w:val="000000"/>
                <w:sz w:val="24"/>
                <w:szCs w:val="24"/>
                <w:lang w:eastAsia="lv-LV"/>
              </w:rPr>
              <w:t> </w:t>
            </w:r>
            <w:r w:rsidRPr="00821EA1">
              <w:rPr>
                <w:rFonts w:ascii="Times New Roman" w:eastAsia="Times New Roman" w:hAnsi="Times New Roman" w:cs="Times New Roman"/>
                <w:color w:val="000000"/>
                <w:sz w:val="24"/>
                <w:szCs w:val="24"/>
                <w:lang w:eastAsia="lv-LV"/>
              </w:rPr>
              <w:t>2023/894 gada</w:t>
            </w:r>
            <w:r>
              <w:rPr>
                <w:rFonts w:ascii="Times New Roman" w:eastAsia="Times New Roman" w:hAnsi="Times New Roman" w:cs="Times New Roman"/>
                <w:color w:val="000000"/>
                <w:sz w:val="24"/>
                <w:szCs w:val="24"/>
                <w:lang w:eastAsia="lv-LV"/>
              </w:rPr>
              <w:t xml:space="preserve"> un ceturkšņa </w:t>
            </w:r>
            <w:r w:rsidRPr="00821EA1">
              <w:rPr>
                <w:rFonts w:ascii="Times New Roman" w:eastAsia="Times New Roman" w:hAnsi="Times New Roman" w:cs="Times New Roman"/>
                <w:color w:val="000000"/>
                <w:sz w:val="24"/>
                <w:szCs w:val="24"/>
                <w:lang w:eastAsia="lv-LV"/>
              </w:rPr>
              <w:t>darbības pārskat</w:t>
            </w:r>
            <w:r>
              <w:rPr>
                <w:rFonts w:ascii="Times New Roman" w:eastAsia="Times New Roman" w:hAnsi="Times New Roman" w:cs="Times New Roman"/>
                <w:color w:val="000000"/>
                <w:sz w:val="24"/>
                <w:szCs w:val="24"/>
                <w:lang w:eastAsia="lv-LV"/>
              </w:rPr>
              <w:t xml:space="preserve">u </w:t>
            </w:r>
            <w:r w:rsidRPr="00C06FB6">
              <w:rPr>
                <w:rFonts w:ascii="Times New Roman" w:eastAsia="Times New Roman" w:hAnsi="Times New Roman" w:cs="Times New Roman"/>
                <w:color w:val="000000"/>
                <w:sz w:val="24"/>
                <w:szCs w:val="24"/>
                <w:lang w:eastAsia="lv-LV"/>
              </w:rPr>
              <w:t>veidn</w:t>
            </w:r>
            <w:r w:rsidR="002A59C8" w:rsidRPr="00C06FB6">
              <w:rPr>
                <w:rFonts w:ascii="Times New Roman" w:eastAsia="Times New Roman" w:hAnsi="Times New Roman" w:cs="Times New Roman"/>
                <w:color w:val="000000"/>
                <w:sz w:val="24"/>
                <w:szCs w:val="24"/>
                <w:lang w:eastAsia="lv-LV"/>
              </w:rPr>
              <w:t>ē</w:t>
            </w:r>
            <w:r w:rsidRPr="00C06FB6">
              <w:rPr>
                <w:rFonts w:ascii="Times New Roman" w:eastAsia="Times New Roman" w:hAnsi="Times New Roman" w:cs="Times New Roman"/>
                <w:color w:val="000000"/>
                <w:sz w:val="24"/>
                <w:szCs w:val="24"/>
                <w:lang w:eastAsia="lv-LV"/>
              </w:rPr>
              <w:t xml:space="preserve">s </w:t>
            </w:r>
            <w:r w:rsidR="002866A5" w:rsidRPr="00C06FB6">
              <w:rPr>
                <w:rFonts w:ascii="Times New Roman" w:eastAsia="Times New Roman" w:hAnsi="Times New Roman" w:cs="Times New Roman"/>
                <w:color w:val="000000"/>
                <w:sz w:val="24"/>
                <w:szCs w:val="24"/>
                <w:lang w:eastAsia="lv-LV"/>
              </w:rPr>
              <w:t xml:space="preserve">ir </w:t>
            </w:r>
            <w:r w:rsidR="002A59C8" w:rsidRPr="007159B5">
              <w:rPr>
                <w:rFonts w:ascii="Times New Roman" w:eastAsia="Times New Roman" w:hAnsi="Times New Roman" w:cs="Times New Roman"/>
                <w:color w:val="000000"/>
                <w:sz w:val="24"/>
                <w:szCs w:val="24"/>
                <w:lang w:eastAsia="lv-LV"/>
              </w:rPr>
              <w:t>ietvertas</w:t>
            </w:r>
            <w:r w:rsidRPr="00C06FB6">
              <w:rPr>
                <w:rFonts w:ascii="Times New Roman" w:eastAsia="Times New Roman" w:hAnsi="Times New Roman" w:cs="Times New Roman"/>
                <w:color w:val="000000"/>
                <w:sz w:val="24"/>
                <w:szCs w:val="24"/>
                <w:lang w:eastAsia="lv-LV"/>
              </w:rPr>
              <w:t xml:space="preserve"> papildu pozīcij</w:t>
            </w:r>
            <w:r w:rsidR="002A59C8" w:rsidRPr="00C06FB6">
              <w:rPr>
                <w:rFonts w:ascii="Times New Roman" w:eastAsia="Times New Roman" w:hAnsi="Times New Roman" w:cs="Times New Roman"/>
                <w:color w:val="000000"/>
                <w:sz w:val="24"/>
                <w:szCs w:val="24"/>
                <w:lang w:eastAsia="lv-LV"/>
              </w:rPr>
              <w:t>as</w:t>
            </w:r>
            <w:r w:rsidRPr="00821EA1">
              <w:rPr>
                <w:rFonts w:ascii="Times New Roman" w:eastAsia="Times New Roman" w:hAnsi="Times New Roman" w:cs="Times New Roman"/>
                <w:color w:val="000000"/>
                <w:sz w:val="24"/>
                <w:szCs w:val="24"/>
                <w:lang w:eastAsia="lv-LV"/>
              </w:rPr>
              <w:t xml:space="preserve"> atbilstoši ECB regulas Nr.</w:t>
            </w:r>
            <w:r w:rsidR="00B917A7">
              <w:rPr>
                <w:rFonts w:ascii="Times New Roman" w:eastAsia="Times New Roman" w:hAnsi="Times New Roman" w:cs="Times New Roman"/>
                <w:color w:val="000000"/>
                <w:sz w:val="24"/>
                <w:szCs w:val="24"/>
                <w:lang w:eastAsia="lv-LV"/>
              </w:rPr>
              <w:t> </w:t>
            </w:r>
            <w:r w:rsidRPr="00821EA1">
              <w:rPr>
                <w:rFonts w:ascii="Times New Roman" w:eastAsia="Times New Roman" w:hAnsi="Times New Roman" w:cs="Times New Roman"/>
                <w:color w:val="000000"/>
                <w:sz w:val="24"/>
                <w:szCs w:val="24"/>
                <w:lang w:eastAsia="lv-LV"/>
              </w:rPr>
              <w:t>1374/2014 prasībām</w:t>
            </w:r>
            <w:r>
              <w:rPr>
                <w:rFonts w:ascii="Times New Roman" w:eastAsia="Times New Roman" w:hAnsi="Times New Roman" w:cs="Times New Roman"/>
                <w:color w:val="000000"/>
                <w:sz w:val="24"/>
                <w:szCs w:val="24"/>
                <w:lang w:eastAsia="lv-LV"/>
              </w:rPr>
              <w:t>.</w:t>
            </w:r>
          </w:p>
          <w:p w14:paraId="5ED38ADE" w14:textId="6C0BD43F" w:rsidR="005C2733" w:rsidRDefault="00664E5A" w:rsidP="00B917A7">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Lai iegūtu informāciju </w:t>
            </w:r>
            <w:r w:rsidRPr="00664E5A">
              <w:rPr>
                <w:rFonts w:ascii="Times New Roman" w:eastAsia="Times New Roman" w:hAnsi="Times New Roman" w:cs="Times New Roman"/>
                <w:color w:val="000000"/>
                <w:sz w:val="24"/>
                <w:szCs w:val="24"/>
                <w:lang w:eastAsia="lv-LV"/>
              </w:rPr>
              <w:t>statistikas vajadzībām</w:t>
            </w:r>
            <w:r w:rsidR="002A59C8">
              <w:rPr>
                <w:rFonts w:ascii="Times New Roman" w:eastAsia="Times New Roman" w:hAnsi="Times New Roman" w:cs="Times New Roman"/>
                <w:color w:val="000000"/>
                <w:sz w:val="24"/>
                <w:szCs w:val="24"/>
                <w:lang w:eastAsia="lv-LV"/>
              </w:rPr>
              <w:t>,</w:t>
            </w:r>
            <w:r w:rsidRPr="00664E5A">
              <w:rPr>
                <w:rFonts w:ascii="Times New Roman" w:eastAsia="Times New Roman" w:hAnsi="Times New Roman" w:cs="Times New Roman"/>
                <w:color w:val="000000"/>
                <w:sz w:val="24"/>
                <w:szCs w:val="24"/>
                <w:lang w:eastAsia="lv-LV"/>
              </w:rPr>
              <w:t xml:space="preserve"> </w:t>
            </w:r>
            <w:r w:rsidR="00375D09">
              <w:rPr>
                <w:rFonts w:ascii="Times New Roman" w:eastAsia="Times New Roman" w:hAnsi="Times New Roman" w:cs="Times New Roman"/>
                <w:color w:val="000000"/>
                <w:sz w:val="24"/>
                <w:szCs w:val="24"/>
                <w:lang w:eastAsia="lv-LV"/>
              </w:rPr>
              <w:t xml:space="preserve">apdrošināšanas </w:t>
            </w:r>
            <w:r w:rsidR="002866A5">
              <w:rPr>
                <w:rFonts w:ascii="Times New Roman" w:eastAsia="Times New Roman" w:hAnsi="Times New Roman" w:cs="Times New Roman"/>
                <w:color w:val="000000"/>
                <w:sz w:val="24"/>
                <w:szCs w:val="24"/>
                <w:lang w:eastAsia="lv-LV"/>
              </w:rPr>
              <w:t xml:space="preserve">sabiedrības </w:t>
            </w:r>
            <w:r w:rsidR="00375D09">
              <w:rPr>
                <w:rFonts w:ascii="Times New Roman" w:eastAsia="Times New Roman" w:hAnsi="Times New Roman" w:cs="Times New Roman"/>
                <w:color w:val="000000"/>
                <w:sz w:val="24"/>
                <w:szCs w:val="24"/>
                <w:lang w:eastAsia="lv-LV"/>
              </w:rPr>
              <w:t>vai pārapdrošināš</w:t>
            </w:r>
            <w:r w:rsidR="00C4137D">
              <w:rPr>
                <w:rFonts w:ascii="Times New Roman" w:eastAsia="Times New Roman" w:hAnsi="Times New Roman" w:cs="Times New Roman"/>
                <w:color w:val="000000"/>
                <w:sz w:val="24"/>
                <w:szCs w:val="24"/>
                <w:lang w:eastAsia="lv-LV"/>
              </w:rPr>
              <w:t>a</w:t>
            </w:r>
            <w:r w:rsidR="00375D09">
              <w:rPr>
                <w:rFonts w:ascii="Times New Roman" w:eastAsia="Times New Roman" w:hAnsi="Times New Roman" w:cs="Times New Roman"/>
                <w:color w:val="000000"/>
                <w:sz w:val="24"/>
                <w:szCs w:val="24"/>
                <w:lang w:eastAsia="lv-LV"/>
              </w:rPr>
              <w:t xml:space="preserve">nas sabiedrības iesniedz Latvijas Bankai atsevišķas ceturkšņa un gada pārskatu veidnes, </w:t>
            </w:r>
            <w:r w:rsidR="00375D09" w:rsidRPr="00664E5A">
              <w:rPr>
                <w:rFonts w:ascii="Times New Roman" w:eastAsia="Times New Roman" w:hAnsi="Times New Roman" w:cs="Times New Roman"/>
                <w:color w:val="000000"/>
                <w:sz w:val="24"/>
                <w:szCs w:val="24"/>
                <w:lang w:eastAsia="lv-LV"/>
              </w:rPr>
              <w:t>neiekļaujot tajā</w:t>
            </w:r>
            <w:r w:rsidR="002866A5">
              <w:rPr>
                <w:rFonts w:ascii="Times New Roman" w:eastAsia="Times New Roman" w:hAnsi="Times New Roman" w:cs="Times New Roman"/>
                <w:color w:val="000000"/>
                <w:sz w:val="24"/>
                <w:szCs w:val="24"/>
                <w:lang w:eastAsia="lv-LV"/>
              </w:rPr>
              <w:t>s</w:t>
            </w:r>
            <w:r w:rsidR="00375D09" w:rsidRPr="00664E5A">
              <w:rPr>
                <w:rFonts w:ascii="Times New Roman" w:eastAsia="Times New Roman" w:hAnsi="Times New Roman" w:cs="Times New Roman"/>
                <w:color w:val="000000"/>
                <w:sz w:val="24"/>
                <w:szCs w:val="24"/>
                <w:lang w:eastAsia="lv-LV"/>
              </w:rPr>
              <w:t xml:space="preserve"> datus par apdrošināšanas </w:t>
            </w:r>
            <w:r w:rsidR="002866A5">
              <w:rPr>
                <w:rFonts w:ascii="Times New Roman" w:eastAsia="Times New Roman" w:hAnsi="Times New Roman" w:cs="Times New Roman"/>
                <w:color w:val="000000"/>
                <w:sz w:val="24"/>
                <w:szCs w:val="24"/>
                <w:lang w:eastAsia="lv-LV"/>
              </w:rPr>
              <w:t xml:space="preserve">sabiedrības </w:t>
            </w:r>
            <w:r w:rsidR="00375D09" w:rsidRPr="00664E5A">
              <w:rPr>
                <w:rFonts w:ascii="Times New Roman" w:eastAsia="Times New Roman" w:hAnsi="Times New Roman" w:cs="Times New Roman"/>
                <w:color w:val="000000"/>
                <w:sz w:val="24"/>
                <w:szCs w:val="24"/>
                <w:lang w:eastAsia="lv-LV"/>
              </w:rPr>
              <w:t>vai pārapdrošināšanas sabiedrības dalībvalstu un ārvalstu filiāļu darbību.</w:t>
            </w:r>
          </w:p>
          <w:p w14:paraId="6845F2CA" w14:textId="54190672" w:rsidR="00C4137D" w:rsidRDefault="005C2733" w:rsidP="00B917A7">
            <w:pPr>
              <w:pStyle w:val="BodyText"/>
              <w:spacing w:line="240" w:lineRule="auto"/>
              <w:jc w:val="both"/>
              <w:rPr>
                <w:rFonts w:ascii="Times New Roman" w:eastAsia="Times New Roman" w:hAnsi="Times New Roman" w:cs="Times New Roman"/>
                <w:color w:val="000000"/>
                <w:sz w:val="24"/>
                <w:szCs w:val="24"/>
                <w:lang w:eastAsia="lv-LV"/>
              </w:rPr>
            </w:pPr>
            <w:r w:rsidRPr="007159B5">
              <w:rPr>
                <w:rFonts w:ascii="Times New Roman" w:eastAsia="Times New Roman" w:hAnsi="Times New Roman" w:cs="Times New Roman"/>
                <w:color w:val="000000"/>
                <w:sz w:val="24"/>
                <w:szCs w:val="24"/>
                <w:lang w:eastAsia="lv-LV"/>
              </w:rPr>
              <w:t>Lai optimizētu statistisko datu sniegšanas slogu apdrošināšanas vai pārapdrošināšanas sabiedrībām sa</w:t>
            </w:r>
            <w:r w:rsidR="002A59C8" w:rsidRPr="007159B5">
              <w:rPr>
                <w:rFonts w:ascii="Times New Roman" w:eastAsia="Times New Roman" w:hAnsi="Times New Roman" w:cs="Times New Roman"/>
                <w:color w:val="000000"/>
                <w:sz w:val="24"/>
                <w:szCs w:val="24"/>
                <w:lang w:eastAsia="lv-LV"/>
              </w:rPr>
              <w:t>istīb</w:t>
            </w:r>
            <w:r w:rsidRPr="007159B5">
              <w:rPr>
                <w:rFonts w:ascii="Times New Roman" w:eastAsia="Times New Roman" w:hAnsi="Times New Roman" w:cs="Times New Roman"/>
                <w:color w:val="000000"/>
                <w:sz w:val="24"/>
                <w:szCs w:val="24"/>
                <w:lang w:eastAsia="lv-LV"/>
              </w:rPr>
              <w:t>ā ar izmaiņām finanšu instrumentu plūsmu</w:t>
            </w:r>
            <w:r w:rsidR="00F07965" w:rsidRPr="007159B5">
              <w:rPr>
                <w:rFonts w:ascii="Times New Roman" w:eastAsia="Times New Roman" w:hAnsi="Times New Roman" w:cs="Times New Roman"/>
                <w:color w:val="000000"/>
                <w:sz w:val="24"/>
                <w:szCs w:val="24"/>
                <w:lang w:eastAsia="lv-LV"/>
              </w:rPr>
              <w:t>,</w:t>
            </w:r>
            <w:r w:rsidRPr="007159B5">
              <w:rPr>
                <w:rFonts w:ascii="Times New Roman" w:eastAsia="Times New Roman" w:hAnsi="Times New Roman" w:cs="Times New Roman"/>
                <w:color w:val="000000"/>
                <w:sz w:val="24"/>
                <w:szCs w:val="24"/>
                <w:lang w:eastAsia="lv-LV"/>
              </w:rPr>
              <w:t xml:space="preserve"> </w:t>
            </w:r>
            <w:proofErr w:type="spellStart"/>
            <w:r w:rsidRPr="007159B5">
              <w:rPr>
                <w:rFonts w:ascii="Times New Roman" w:eastAsia="Times New Roman" w:hAnsi="Times New Roman" w:cs="Times New Roman"/>
                <w:color w:val="000000"/>
                <w:sz w:val="24"/>
                <w:szCs w:val="24"/>
                <w:lang w:eastAsia="lv-LV"/>
              </w:rPr>
              <w:t>darījumdarbības</w:t>
            </w:r>
            <w:proofErr w:type="spellEnd"/>
            <w:r w:rsidRPr="007159B5">
              <w:rPr>
                <w:rFonts w:ascii="Times New Roman" w:eastAsia="Times New Roman" w:hAnsi="Times New Roman" w:cs="Times New Roman"/>
                <w:color w:val="000000"/>
                <w:sz w:val="24"/>
                <w:szCs w:val="24"/>
                <w:lang w:eastAsia="lv-LV"/>
              </w:rPr>
              <w:t xml:space="preserve"> partnervalsts un sektora datu aprēķinu metodēs</w:t>
            </w:r>
            <w:r w:rsidR="00F16CFF" w:rsidRPr="007159B5">
              <w:rPr>
                <w:rFonts w:ascii="Times New Roman" w:eastAsia="Times New Roman" w:hAnsi="Times New Roman" w:cs="Times New Roman"/>
                <w:color w:val="000000"/>
                <w:sz w:val="24"/>
                <w:szCs w:val="24"/>
                <w:lang w:eastAsia="lv-LV"/>
              </w:rPr>
              <w:t>, ko izmanto</w:t>
            </w:r>
            <w:r w:rsidR="006114CB" w:rsidRPr="007159B5">
              <w:rPr>
                <w:rFonts w:ascii="Times New Roman" w:eastAsia="Times New Roman" w:hAnsi="Times New Roman" w:cs="Times New Roman"/>
                <w:color w:val="000000"/>
                <w:sz w:val="24"/>
                <w:szCs w:val="24"/>
                <w:lang w:eastAsia="lv-LV"/>
              </w:rPr>
              <w:t xml:space="preserve"> monetārajā un </w:t>
            </w:r>
            <w:r w:rsidRPr="007159B5">
              <w:rPr>
                <w:rFonts w:ascii="Times New Roman" w:eastAsia="Times New Roman" w:hAnsi="Times New Roman" w:cs="Times New Roman"/>
                <w:color w:val="000000"/>
                <w:sz w:val="24"/>
                <w:szCs w:val="24"/>
                <w:lang w:eastAsia="lv-LV"/>
              </w:rPr>
              <w:t xml:space="preserve">finanšu statistikā, </w:t>
            </w:r>
            <w:r w:rsidR="00F16CFF" w:rsidRPr="007159B5">
              <w:rPr>
                <w:rFonts w:ascii="Times New Roman" w:eastAsia="Times New Roman" w:hAnsi="Times New Roman" w:cs="Times New Roman"/>
                <w:color w:val="000000"/>
                <w:sz w:val="24"/>
                <w:szCs w:val="24"/>
                <w:lang w:eastAsia="lv-LV"/>
              </w:rPr>
              <w:t xml:space="preserve">pārskatu </w:t>
            </w:r>
            <w:r w:rsidR="002A59C8" w:rsidRPr="007159B5">
              <w:rPr>
                <w:rFonts w:ascii="Times New Roman" w:eastAsia="Times New Roman" w:hAnsi="Times New Roman" w:cs="Times New Roman"/>
                <w:color w:val="000000"/>
                <w:sz w:val="24"/>
                <w:szCs w:val="24"/>
                <w:lang w:eastAsia="lv-LV"/>
              </w:rPr>
              <w:t>veidn</w:t>
            </w:r>
            <w:r w:rsidR="00F16CFF" w:rsidRPr="007159B5">
              <w:rPr>
                <w:rFonts w:ascii="Times New Roman" w:eastAsia="Times New Roman" w:hAnsi="Times New Roman" w:cs="Times New Roman"/>
                <w:color w:val="000000"/>
                <w:sz w:val="24"/>
                <w:szCs w:val="24"/>
                <w:lang w:eastAsia="lv-LV"/>
              </w:rPr>
              <w:t>ē</w:t>
            </w:r>
            <w:r w:rsidR="002A59C8" w:rsidRPr="007159B5">
              <w:rPr>
                <w:rFonts w:ascii="Times New Roman" w:eastAsia="Times New Roman" w:hAnsi="Times New Roman" w:cs="Times New Roman"/>
                <w:color w:val="000000"/>
                <w:sz w:val="24"/>
                <w:szCs w:val="24"/>
                <w:lang w:eastAsia="lv-LV"/>
              </w:rPr>
              <w:t xml:space="preserve"> </w:t>
            </w:r>
            <w:r w:rsidRPr="007159B5">
              <w:rPr>
                <w:rFonts w:ascii="Times New Roman" w:eastAsia="Times New Roman" w:hAnsi="Times New Roman" w:cs="Times New Roman"/>
                <w:color w:val="000000"/>
                <w:sz w:val="24"/>
                <w:szCs w:val="24"/>
                <w:lang w:eastAsia="lv-LV"/>
              </w:rPr>
              <w:t>L.06</w:t>
            </w:r>
            <w:r w:rsidR="002A59C8" w:rsidRPr="007159B5">
              <w:rPr>
                <w:rFonts w:ascii="Times New Roman" w:eastAsia="Times New Roman" w:hAnsi="Times New Roman" w:cs="Times New Roman"/>
                <w:color w:val="000000"/>
                <w:sz w:val="24"/>
                <w:szCs w:val="24"/>
                <w:lang w:eastAsia="lv-LV"/>
              </w:rPr>
              <w:t>.</w:t>
            </w:r>
            <w:r w:rsidRPr="007159B5">
              <w:rPr>
                <w:rFonts w:ascii="Times New Roman" w:eastAsia="Times New Roman" w:hAnsi="Times New Roman" w:cs="Times New Roman"/>
                <w:color w:val="000000"/>
                <w:sz w:val="24"/>
                <w:szCs w:val="24"/>
                <w:lang w:eastAsia="lv-LV"/>
              </w:rPr>
              <w:t xml:space="preserve"> </w:t>
            </w:r>
            <w:r w:rsidRPr="007159B5">
              <w:rPr>
                <w:rFonts w:ascii="Times New Roman" w:hAnsi="Times New Roman" w:cs="Times New Roman"/>
                <w:sz w:val="24"/>
                <w:szCs w:val="24"/>
              </w:rPr>
              <w:t>"</w:t>
            </w:r>
            <w:r w:rsidR="002C6211" w:rsidRPr="007159B5">
              <w:rPr>
                <w:rFonts w:ascii="Times New Roman" w:eastAsia="Times New Roman" w:hAnsi="Times New Roman" w:cs="Times New Roman"/>
                <w:color w:val="000000"/>
                <w:sz w:val="24"/>
                <w:szCs w:val="24"/>
                <w:lang w:eastAsia="lv-LV"/>
              </w:rPr>
              <w:t>Apdrošināšanas sabiedrības vai pārapdrošināšanas sabiedrības</w:t>
            </w:r>
            <w:r w:rsidRPr="007159B5">
              <w:rPr>
                <w:rFonts w:ascii="Times New Roman" w:eastAsia="Times New Roman" w:hAnsi="Times New Roman" w:cs="Times New Roman"/>
                <w:color w:val="000000"/>
                <w:sz w:val="24"/>
                <w:szCs w:val="24"/>
                <w:lang w:eastAsia="lv-LV"/>
              </w:rPr>
              <w:t xml:space="preserve"> pārskatu veidņu atsevišķu pozīciju izvērsums</w:t>
            </w:r>
            <w:r w:rsidRPr="007159B5">
              <w:rPr>
                <w:rFonts w:ascii="Times New Roman" w:hAnsi="Times New Roman" w:cs="Times New Roman"/>
                <w:sz w:val="24"/>
                <w:szCs w:val="24"/>
              </w:rPr>
              <w:t>"</w:t>
            </w:r>
            <w:r w:rsidRPr="007159B5">
              <w:rPr>
                <w:rFonts w:ascii="Times New Roman" w:eastAsia="Times New Roman" w:hAnsi="Times New Roman" w:cs="Times New Roman"/>
                <w:color w:val="000000"/>
                <w:sz w:val="24"/>
                <w:szCs w:val="24"/>
                <w:lang w:eastAsia="lv-LV"/>
              </w:rPr>
              <w:t xml:space="preserve"> veikti grozījumi, aili </w:t>
            </w:r>
            <w:r w:rsidRPr="007159B5">
              <w:rPr>
                <w:rFonts w:ascii="Times New Roman" w:hAnsi="Times New Roman" w:cs="Times New Roman"/>
                <w:sz w:val="24"/>
                <w:szCs w:val="24"/>
              </w:rPr>
              <w:t>"</w:t>
            </w:r>
            <w:r w:rsidRPr="007159B5">
              <w:rPr>
                <w:rFonts w:ascii="Times New Roman" w:eastAsia="Times New Roman" w:hAnsi="Times New Roman" w:cs="Times New Roman"/>
                <w:color w:val="000000"/>
                <w:sz w:val="24"/>
                <w:szCs w:val="24"/>
                <w:lang w:eastAsia="lv-LV"/>
              </w:rPr>
              <w:t>Valūtas kods</w:t>
            </w:r>
            <w:r w:rsidRPr="007159B5">
              <w:rPr>
                <w:rFonts w:ascii="Times New Roman" w:hAnsi="Times New Roman" w:cs="Times New Roman"/>
                <w:sz w:val="24"/>
                <w:szCs w:val="24"/>
              </w:rPr>
              <w:t>"</w:t>
            </w:r>
            <w:r w:rsidRPr="007159B5">
              <w:rPr>
                <w:rFonts w:ascii="Times New Roman" w:eastAsia="Times New Roman" w:hAnsi="Times New Roman" w:cs="Times New Roman"/>
                <w:color w:val="000000"/>
                <w:sz w:val="24"/>
                <w:szCs w:val="24"/>
                <w:lang w:eastAsia="lv-LV"/>
              </w:rPr>
              <w:t xml:space="preserve"> </w:t>
            </w:r>
            <w:r w:rsidR="00F07965" w:rsidRPr="007159B5">
              <w:rPr>
                <w:rFonts w:ascii="Times New Roman" w:eastAsia="Times New Roman" w:hAnsi="Times New Roman" w:cs="Times New Roman"/>
                <w:color w:val="000000"/>
                <w:sz w:val="24"/>
                <w:szCs w:val="24"/>
                <w:lang w:eastAsia="lv-LV"/>
              </w:rPr>
              <w:t xml:space="preserve">slēdzot pilnībā </w:t>
            </w:r>
            <w:r w:rsidRPr="007159B5">
              <w:rPr>
                <w:rFonts w:ascii="Times New Roman" w:eastAsia="Times New Roman" w:hAnsi="Times New Roman" w:cs="Times New Roman"/>
                <w:color w:val="000000"/>
                <w:sz w:val="24"/>
                <w:szCs w:val="24"/>
                <w:lang w:eastAsia="lv-LV"/>
              </w:rPr>
              <w:t xml:space="preserve">un </w:t>
            </w:r>
            <w:r w:rsidR="002A59C8" w:rsidRPr="007159B5">
              <w:rPr>
                <w:rFonts w:ascii="Times New Roman" w:eastAsia="Times New Roman" w:hAnsi="Times New Roman" w:cs="Times New Roman"/>
                <w:color w:val="000000"/>
                <w:sz w:val="24"/>
                <w:szCs w:val="24"/>
                <w:lang w:eastAsia="lv-LV"/>
              </w:rPr>
              <w:t xml:space="preserve">aili </w:t>
            </w:r>
            <w:r w:rsidRPr="007159B5">
              <w:rPr>
                <w:rFonts w:ascii="Times New Roman" w:hAnsi="Times New Roman" w:cs="Times New Roman"/>
                <w:sz w:val="24"/>
                <w:szCs w:val="24"/>
              </w:rPr>
              <w:t>"</w:t>
            </w:r>
            <w:r w:rsidRPr="007159B5">
              <w:rPr>
                <w:rFonts w:ascii="Times New Roman" w:eastAsia="Times New Roman" w:hAnsi="Times New Roman" w:cs="Times New Roman"/>
                <w:color w:val="000000"/>
                <w:sz w:val="24"/>
                <w:szCs w:val="24"/>
                <w:lang w:eastAsia="lv-LV"/>
              </w:rPr>
              <w:t>Valsts kods</w:t>
            </w:r>
            <w:r w:rsidRPr="007159B5">
              <w:rPr>
                <w:rFonts w:ascii="Times New Roman" w:hAnsi="Times New Roman" w:cs="Times New Roman"/>
                <w:sz w:val="24"/>
                <w:szCs w:val="24"/>
              </w:rPr>
              <w:t>"</w:t>
            </w:r>
            <w:r w:rsidRPr="007159B5">
              <w:rPr>
                <w:rFonts w:ascii="Times New Roman" w:eastAsia="Times New Roman" w:hAnsi="Times New Roman" w:cs="Times New Roman"/>
                <w:color w:val="000000"/>
                <w:sz w:val="24"/>
                <w:szCs w:val="24"/>
                <w:lang w:eastAsia="lv-LV"/>
              </w:rPr>
              <w:t xml:space="preserve"> un </w:t>
            </w:r>
            <w:r w:rsidRPr="007159B5">
              <w:rPr>
                <w:rFonts w:ascii="Times New Roman" w:hAnsi="Times New Roman" w:cs="Times New Roman"/>
                <w:sz w:val="24"/>
                <w:szCs w:val="24"/>
              </w:rPr>
              <w:t>"</w:t>
            </w:r>
            <w:r w:rsidRPr="007159B5">
              <w:rPr>
                <w:rFonts w:ascii="Times New Roman" w:eastAsia="Times New Roman" w:hAnsi="Times New Roman" w:cs="Times New Roman"/>
                <w:color w:val="000000"/>
                <w:sz w:val="24"/>
                <w:szCs w:val="24"/>
                <w:lang w:eastAsia="lv-LV"/>
              </w:rPr>
              <w:t>Sektora kods</w:t>
            </w:r>
            <w:r w:rsidRPr="007159B5">
              <w:rPr>
                <w:rFonts w:ascii="Times New Roman" w:hAnsi="Times New Roman" w:cs="Times New Roman"/>
                <w:sz w:val="24"/>
                <w:szCs w:val="24"/>
              </w:rPr>
              <w:t>"</w:t>
            </w:r>
            <w:r w:rsidRPr="007159B5">
              <w:rPr>
                <w:rFonts w:ascii="Times New Roman" w:eastAsia="Times New Roman" w:hAnsi="Times New Roman" w:cs="Times New Roman"/>
                <w:color w:val="000000"/>
                <w:sz w:val="24"/>
                <w:szCs w:val="24"/>
                <w:lang w:eastAsia="lv-LV"/>
              </w:rPr>
              <w:t xml:space="preserve"> </w:t>
            </w:r>
            <w:r w:rsidR="00F07965" w:rsidRPr="007159B5">
              <w:rPr>
                <w:rFonts w:ascii="Times New Roman" w:eastAsia="Times New Roman" w:hAnsi="Times New Roman" w:cs="Times New Roman"/>
                <w:color w:val="000000"/>
                <w:sz w:val="24"/>
                <w:szCs w:val="24"/>
                <w:lang w:eastAsia="lv-LV"/>
              </w:rPr>
              <w:t xml:space="preserve">slēdzot </w:t>
            </w:r>
            <w:r w:rsidRPr="007159B5">
              <w:rPr>
                <w:rFonts w:ascii="Times New Roman" w:eastAsia="Times New Roman" w:hAnsi="Times New Roman" w:cs="Times New Roman"/>
                <w:color w:val="000000"/>
                <w:sz w:val="24"/>
                <w:szCs w:val="24"/>
                <w:lang w:eastAsia="lv-LV"/>
              </w:rPr>
              <w:t>atsevišķām pārskata pozīcijām.</w:t>
            </w:r>
            <w:r w:rsidR="00F07965">
              <w:rPr>
                <w:rFonts w:ascii="Times New Roman" w:eastAsia="Times New Roman" w:hAnsi="Times New Roman" w:cs="Times New Roman"/>
                <w:color w:val="000000"/>
                <w:sz w:val="24"/>
                <w:szCs w:val="24"/>
                <w:lang w:eastAsia="lv-LV"/>
              </w:rPr>
              <w:t xml:space="preserve"> </w:t>
            </w:r>
          </w:p>
          <w:p w14:paraId="4964DBCD" w14:textId="514EE9D6" w:rsidR="00364619" w:rsidRDefault="00C4137D" w:rsidP="00B917A7">
            <w:pPr>
              <w:pStyle w:val="BodyText"/>
              <w:spacing w:line="240" w:lineRule="auto"/>
              <w:jc w:val="both"/>
              <w:rPr>
                <w:rFonts w:ascii="Times New Roman" w:eastAsia="Times New Roman" w:hAnsi="Times New Roman" w:cs="Times New Roman"/>
                <w:color w:val="000000"/>
                <w:sz w:val="24"/>
                <w:szCs w:val="24"/>
                <w:lang w:eastAsia="lv-LV"/>
              </w:rPr>
            </w:pPr>
            <w:r w:rsidRPr="00C4137D">
              <w:rPr>
                <w:rFonts w:ascii="Times New Roman" w:eastAsia="Times New Roman" w:hAnsi="Times New Roman" w:cs="Times New Roman"/>
                <w:color w:val="000000"/>
                <w:sz w:val="24"/>
                <w:szCs w:val="24"/>
                <w:lang w:eastAsia="lv-LV"/>
              </w:rPr>
              <w:t>Dalībvalst</w:t>
            </w:r>
            <w:r w:rsidR="002866A5">
              <w:rPr>
                <w:rFonts w:ascii="Times New Roman" w:eastAsia="Times New Roman" w:hAnsi="Times New Roman" w:cs="Times New Roman"/>
                <w:color w:val="000000"/>
                <w:sz w:val="24"/>
                <w:szCs w:val="24"/>
                <w:lang w:eastAsia="lv-LV"/>
              </w:rPr>
              <w:t>s</w:t>
            </w:r>
            <w:r w:rsidRPr="00C4137D">
              <w:rPr>
                <w:rFonts w:ascii="Times New Roman" w:eastAsia="Times New Roman" w:hAnsi="Times New Roman" w:cs="Times New Roman"/>
                <w:color w:val="000000"/>
                <w:sz w:val="24"/>
                <w:szCs w:val="24"/>
                <w:lang w:eastAsia="lv-LV"/>
              </w:rPr>
              <w:t xml:space="preserve"> apdrošinātāju</w:t>
            </w:r>
            <w:r w:rsidR="002866A5">
              <w:rPr>
                <w:rFonts w:ascii="Times New Roman" w:eastAsia="Times New Roman" w:hAnsi="Times New Roman" w:cs="Times New Roman"/>
                <w:color w:val="000000"/>
                <w:sz w:val="24"/>
                <w:szCs w:val="24"/>
                <w:lang w:eastAsia="lv-LV"/>
              </w:rPr>
              <w:t xml:space="preserve"> filiāles</w:t>
            </w:r>
            <w:r w:rsidRPr="00C4137D">
              <w:rPr>
                <w:rFonts w:ascii="Times New Roman" w:eastAsia="Times New Roman" w:hAnsi="Times New Roman" w:cs="Times New Roman"/>
                <w:color w:val="000000"/>
                <w:sz w:val="24"/>
                <w:szCs w:val="24"/>
                <w:lang w:eastAsia="lv-LV"/>
              </w:rPr>
              <w:t xml:space="preserve"> vai </w:t>
            </w:r>
            <w:r w:rsidR="002866A5">
              <w:rPr>
                <w:rFonts w:ascii="Times New Roman" w:eastAsia="Times New Roman" w:hAnsi="Times New Roman" w:cs="Times New Roman"/>
                <w:color w:val="000000"/>
                <w:sz w:val="24"/>
                <w:szCs w:val="24"/>
                <w:lang w:eastAsia="lv-LV"/>
              </w:rPr>
              <w:t xml:space="preserve">dalībvalsts </w:t>
            </w:r>
            <w:proofErr w:type="spellStart"/>
            <w:r w:rsidRPr="00C4137D">
              <w:rPr>
                <w:rFonts w:ascii="Times New Roman" w:eastAsia="Times New Roman" w:hAnsi="Times New Roman" w:cs="Times New Roman"/>
                <w:color w:val="000000"/>
                <w:sz w:val="24"/>
                <w:szCs w:val="24"/>
                <w:lang w:eastAsia="lv-LV"/>
              </w:rPr>
              <w:t>pārapdrošinātāju</w:t>
            </w:r>
            <w:proofErr w:type="spellEnd"/>
            <w:r w:rsidRPr="00C4137D">
              <w:rPr>
                <w:rFonts w:ascii="Times New Roman" w:eastAsia="Times New Roman" w:hAnsi="Times New Roman" w:cs="Times New Roman"/>
                <w:color w:val="000000"/>
                <w:sz w:val="24"/>
                <w:szCs w:val="24"/>
                <w:lang w:eastAsia="lv-LV"/>
              </w:rPr>
              <w:t xml:space="preserve"> filiā</w:t>
            </w:r>
            <w:r>
              <w:rPr>
                <w:rFonts w:ascii="Times New Roman" w:eastAsia="Times New Roman" w:hAnsi="Times New Roman" w:cs="Times New Roman"/>
                <w:color w:val="000000"/>
                <w:sz w:val="24"/>
                <w:szCs w:val="24"/>
                <w:lang w:eastAsia="lv-LV"/>
              </w:rPr>
              <w:t xml:space="preserve">les </w:t>
            </w:r>
            <w:r w:rsidR="00364619">
              <w:rPr>
                <w:rFonts w:ascii="Times New Roman" w:eastAsia="Times New Roman" w:hAnsi="Times New Roman" w:cs="Times New Roman"/>
                <w:color w:val="000000"/>
                <w:sz w:val="24"/>
                <w:szCs w:val="24"/>
                <w:lang w:eastAsia="lv-LV"/>
              </w:rPr>
              <w:t xml:space="preserve">iesniedz Latvijas Bankai ceturkšņa un </w:t>
            </w:r>
            <w:r w:rsidR="00364619" w:rsidRPr="00364619">
              <w:rPr>
                <w:rFonts w:ascii="Times New Roman" w:eastAsia="Times New Roman" w:hAnsi="Times New Roman" w:cs="Times New Roman"/>
                <w:color w:val="000000"/>
                <w:sz w:val="24"/>
                <w:szCs w:val="24"/>
                <w:lang w:eastAsia="lv-LV"/>
              </w:rPr>
              <w:t>gada darbības pārskat</w:t>
            </w:r>
            <w:r w:rsidR="00364619">
              <w:rPr>
                <w:rFonts w:ascii="Times New Roman" w:eastAsia="Times New Roman" w:hAnsi="Times New Roman" w:cs="Times New Roman"/>
                <w:color w:val="000000"/>
                <w:sz w:val="24"/>
                <w:szCs w:val="24"/>
                <w:lang w:eastAsia="lv-LV"/>
              </w:rPr>
              <w:t>us</w:t>
            </w:r>
            <w:r w:rsidR="00364619" w:rsidRPr="00364619">
              <w:rPr>
                <w:rFonts w:ascii="Times New Roman" w:eastAsia="Times New Roman" w:hAnsi="Times New Roman" w:cs="Times New Roman"/>
                <w:color w:val="000000"/>
                <w:sz w:val="24"/>
                <w:szCs w:val="24"/>
                <w:lang w:eastAsia="lv-LV"/>
              </w:rPr>
              <w:t xml:space="preserve"> statistikas un produktu pārvaldības uzraudzības vajadzībām</w:t>
            </w:r>
            <w:r w:rsidR="00364619">
              <w:rPr>
                <w:rFonts w:ascii="Times New Roman" w:eastAsia="Times New Roman" w:hAnsi="Times New Roman" w:cs="Times New Roman"/>
                <w:color w:val="000000"/>
                <w:sz w:val="24"/>
                <w:szCs w:val="24"/>
                <w:lang w:eastAsia="lv-LV"/>
              </w:rPr>
              <w:t xml:space="preserve">, kas </w:t>
            </w:r>
            <w:r w:rsidR="00364619" w:rsidRPr="00364619">
              <w:rPr>
                <w:rFonts w:ascii="Times New Roman" w:eastAsia="Times New Roman" w:hAnsi="Times New Roman" w:cs="Times New Roman"/>
                <w:color w:val="000000"/>
                <w:sz w:val="24"/>
                <w:szCs w:val="24"/>
                <w:lang w:eastAsia="lv-LV"/>
              </w:rPr>
              <w:t xml:space="preserve">ietver </w:t>
            </w:r>
            <w:r w:rsidR="00364619">
              <w:rPr>
                <w:rFonts w:ascii="Times New Roman" w:eastAsia="Times New Roman" w:hAnsi="Times New Roman" w:cs="Times New Roman"/>
                <w:color w:val="000000"/>
                <w:sz w:val="24"/>
                <w:szCs w:val="24"/>
                <w:lang w:eastAsia="lv-LV"/>
              </w:rPr>
              <w:t xml:space="preserve">atsevišķas noteikumu projekta </w:t>
            </w:r>
            <w:r w:rsidR="00364619" w:rsidRPr="00364619">
              <w:rPr>
                <w:rFonts w:ascii="Times New Roman" w:eastAsia="Times New Roman" w:hAnsi="Times New Roman" w:cs="Times New Roman"/>
                <w:color w:val="000000"/>
                <w:sz w:val="24"/>
                <w:szCs w:val="24"/>
                <w:lang w:eastAsia="lv-LV"/>
              </w:rPr>
              <w:t>pielikumā norādītās pārskatu veidnes</w:t>
            </w:r>
            <w:r w:rsidR="00364619">
              <w:rPr>
                <w:rFonts w:ascii="Times New Roman" w:eastAsia="Times New Roman" w:hAnsi="Times New Roman" w:cs="Times New Roman"/>
                <w:color w:val="000000"/>
                <w:sz w:val="24"/>
                <w:szCs w:val="24"/>
                <w:lang w:eastAsia="lv-LV"/>
              </w:rPr>
              <w:t>.</w:t>
            </w:r>
          </w:p>
          <w:p w14:paraId="0E3BB83F" w14:textId="5F192472" w:rsidR="002452DB" w:rsidRDefault="00B37F0C" w:rsidP="00B917A7">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projekta izstrādes </w:t>
            </w:r>
            <w:r w:rsidR="00897C92">
              <w:rPr>
                <w:rFonts w:ascii="Times New Roman" w:eastAsia="Times New Roman" w:hAnsi="Times New Roman" w:cs="Times New Roman"/>
                <w:color w:val="000000"/>
                <w:sz w:val="24"/>
                <w:szCs w:val="24"/>
                <w:lang w:eastAsia="lv-LV"/>
              </w:rPr>
              <w:t xml:space="preserve">laikā </w:t>
            </w:r>
            <w:r w:rsidR="00364619">
              <w:rPr>
                <w:rFonts w:ascii="Times New Roman" w:eastAsia="Times New Roman" w:hAnsi="Times New Roman" w:cs="Times New Roman"/>
                <w:color w:val="000000"/>
                <w:sz w:val="24"/>
                <w:szCs w:val="24"/>
                <w:lang w:eastAsia="lv-LV"/>
              </w:rPr>
              <w:t>Latvijas finanšu tirgū nav tādu dalībnieku kā ā</w:t>
            </w:r>
            <w:r w:rsidR="00364619" w:rsidRPr="00364619">
              <w:rPr>
                <w:rFonts w:ascii="Times New Roman" w:eastAsia="Times New Roman" w:hAnsi="Times New Roman" w:cs="Times New Roman"/>
                <w:color w:val="000000"/>
                <w:sz w:val="24"/>
                <w:szCs w:val="24"/>
                <w:lang w:eastAsia="lv-LV"/>
              </w:rPr>
              <w:t>rvalst</w:t>
            </w:r>
            <w:r w:rsidR="002866A5">
              <w:rPr>
                <w:rFonts w:ascii="Times New Roman" w:eastAsia="Times New Roman" w:hAnsi="Times New Roman" w:cs="Times New Roman"/>
                <w:color w:val="000000"/>
                <w:sz w:val="24"/>
                <w:szCs w:val="24"/>
                <w:lang w:eastAsia="lv-LV"/>
              </w:rPr>
              <w:t>s</w:t>
            </w:r>
            <w:r w:rsidR="00364619" w:rsidRPr="00364619">
              <w:rPr>
                <w:rFonts w:ascii="Times New Roman" w:eastAsia="Times New Roman" w:hAnsi="Times New Roman" w:cs="Times New Roman"/>
                <w:color w:val="000000"/>
                <w:sz w:val="24"/>
                <w:szCs w:val="24"/>
                <w:lang w:eastAsia="lv-LV"/>
              </w:rPr>
              <w:t xml:space="preserve"> apdrošinātāju filiā</w:t>
            </w:r>
            <w:r w:rsidR="00364619">
              <w:rPr>
                <w:rFonts w:ascii="Times New Roman" w:eastAsia="Times New Roman" w:hAnsi="Times New Roman" w:cs="Times New Roman"/>
                <w:color w:val="000000"/>
                <w:sz w:val="24"/>
                <w:szCs w:val="24"/>
                <w:lang w:eastAsia="lv-LV"/>
              </w:rPr>
              <w:t>les. Tādē</w:t>
            </w:r>
            <w:r w:rsidR="002A59C8">
              <w:rPr>
                <w:rFonts w:ascii="Times New Roman" w:eastAsia="Times New Roman" w:hAnsi="Times New Roman" w:cs="Times New Roman"/>
                <w:color w:val="000000"/>
                <w:sz w:val="24"/>
                <w:szCs w:val="24"/>
                <w:lang w:eastAsia="lv-LV"/>
              </w:rPr>
              <w:t>ļ</w:t>
            </w:r>
            <w:r w:rsidR="00364619">
              <w:rPr>
                <w:rFonts w:ascii="Times New Roman" w:eastAsia="Times New Roman" w:hAnsi="Times New Roman" w:cs="Times New Roman"/>
                <w:color w:val="000000"/>
                <w:sz w:val="24"/>
                <w:szCs w:val="24"/>
                <w:lang w:eastAsia="lv-LV"/>
              </w:rPr>
              <w:t xml:space="preserve"> tiesību normas, kas izriet no </w:t>
            </w:r>
            <w:r w:rsidR="00364619" w:rsidRPr="00364619">
              <w:rPr>
                <w:rFonts w:ascii="Times New Roman" w:eastAsia="Times New Roman" w:hAnsi="Times New Roman" w:cs="Times New Roman"/>
                <w:color w:val="000000"/>
                <w:sz w:val="24"/>
                <w:szCs w:val="24"/>
                <w:lang w:eastAsia="lv-LV"/>
              </w:rPr>
              <w:t>Eiropas Apdrošināšanas un aroda pensiju iestādes 2015.</w:t>
            </w:r>
            <w:r w:rsidR="00B917A7">
              <w:rPr>
                <w:rFonts w:ascii="Times New Roman" w:eastAsia="Times New Roman" w:hAnsi="Times New Roman" w:cs="Times New Roman"/>
                <w:color w:val="000000"/>
                <w:sz w:val="24"/>
                <w:szCs w:val="24"/>
                <w:lang w:eastAsia="lv-LV"/>
              </w:rPr>
              <w:t> </w:t>
            </w:r>
            <w:r w:rsidR="00364619" w:rsidRPr="00364619">
              <w:rPr>
                <w:rFonts w:ascii="Times New Roman" w:eastAsia="Times New Roman" w:hAnsi="Times New Roman" w:cs="Times New Roman"/>
                <w:color w:val="000000"/>
                <w:sz w:val="24"/>
                <w:szCs w:val="24"/>
                <w:lang w:eastAsia="lv-LV"/>
              </w:rPr>
              <w:t>gada 23.</w:t>
            </w:r>
            <w:r w:rsidR="00B917A7">
              <w:rPr>
                <w:rFonts w:ascii="Times New Roman" w:eastAsia="Times New Roman" w:hAnsi="Times New Roman" w:cs="Times New Roman"/>
                <w:color w:val="000000"/>
                <w:sz w:val="24"/>
                <w:szCs w:val="24"/>
                <w:lang w:eastAsia="lv-LV"/>
              </w:rPr>
              <w:t> </w:t>
            </w:r>
            <w:r w:rsidR="00364619" w:rsidRPr="00364619">
              <w:rPr>
                <w:rFonts w:ascii="Times New Roman" w:eastAsia="Times New Roman" w:hAnsi="Times New Roman" w:cs="Times New Roman"/>
                <w:color w:val="000000"/>
                <w:sz w:val="24"/>
                <w:szCs w:val="24"/>
                <w:lang w:eastAsia="lv-LV"/>
              </w:rPr>
              <w:t>oktobra pamatnostādnēm EIOPA-BoS-15/110 "Pamatnostādnes par trešo valstu apdrošināšanas sabiedrību filiāļu pārraudzību"</w:t>
            </w:r>
            <w:r w:rsidR="00364619">
              <w:rPr>
                <w:rFonts w:ascii="Times New Roman" w:eastAsia="Times New Roman" w:hAnsi="Times New Roman" w:cs="Times New Roman"/>
                <w:color w:val="000000"/>
                <w:sz w:val="24"/>
                <w:szCs w:val="24"/>
                <w:lang w:eastAsia="lv-LV"/>
              </w:rPr>
              <w:t xml:space="preserve">, noteikumu projektā iekļautas ierobežotā apmērā, nosakot </w:t>
            </w:r>
            <w:r w:rsidR="002452DB">
              <w:rPr>
                <w:rFonts w:ascii="Times New Roman" w:eastAsia="Times New Roman" w:hAnsi="Times New Roman" w:cs="Times New Roman"/>
                <w:color w:val="000000"/>
                <w:sz w:val="24"/>
                <w:szCs w:val="24"/>
                <w:lang w:eastAsia="lv-LV"/>
              </w:rPr>
              <w:t>Latvijas Bankai iesniedzamās ceturkšņa un gada darbības pārskatu veidnes.</w:t>
            </w:r>
          </w:p>
          <w:p w14:paraId="21523C8A" w14:textId="7E0C3769" w:rsidR="002452DB" w:rsidRDefault="002452DB" w:rsidP="00B917A7">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projektā </w:t>
            </w:r>
            <w:r w:rsidR="005C2733">
              <w:rPr>
                <w:rFonts w:ascii="Times New Roman" w:eastAsia="Times New Roman" w:hAnsi="Times New Roman" w:cs="Times New Roman"/>
                <w:color w:val="000000"/>
                <w:sz w:val="24"/>
                <w:szCs w:val="24"/>
                <w:lang w:eastAsia="lv-LV"/>
              </w:rPr>
              <w:t xml:space="preserve">mainītas </w:t>
            </w:r>
            <w:r>
              <w:rPr>
                <w:rFonts w:ascii="Times New Roman" w:eastAsia="Times New Roman" w:hAnsi="Times New Roman" w:cs="Times New Roman"/>
                <w:color w:val="000000"/>
                <w:sz w:val="24"/>
                <w:szCs w:val="24"/>
                <w:lang w:eastAsia="lv-LV"/>
              </w:rPr>
              <w:t xml:space="preserve">prasības </w:t>
            </w:r>
            <w:r w:rsidR="002A59C8">
              <w:rPr>
                <w:rFonts w:ascii="Times New Roman" w:eastAsia="Times New Roman" w:hAnsi="Times New Roman" w:cs="Times New Roman"/>
                <w:color w:val="000000"/>
                <w:sz w:val="24"/>
                <w:szCs w:val="24"/>
                <w:lang w:eastAsia="lv-LV"/>
              </w:rPr>
              <w:t xml:space="preserve">attiecībā uz </w:t>
            </w:r>
            <w:r>
              <w:rPr>
                <w:rFonts w:ascii="Times New Roman" w:eastAsia="Times New Roman" w:hAnsi="Times New Roman" w:cs="Times New Roman"/>
                <w:color w:val="000000"/>
                <w:sz w:val="24"/>
                <w:szCs w:val="24"/>
                <w:lang w:eastAsia="lv-LV"/>
              </w:rPr>
              <w:t>ā</w:t>
            </w:r>
            <w:r w:rsidRPr="002452DB">
              <w:rPr>
                <w:rFonts w:ascii="Times New Roman" w:eastAsia="Times New Roman" w:hAnsi="Times New Roman" w:cs="Times New Roman"/>
                <w:color w:val="000000"/>
                <w:sz w:val="24"/>
                <w:szCs w:val="24"/>
                <w:lang w:eastAsia="lv-LV"/>
              </w:rPr>
              <w:t>rvalst</w:t>
            </w:r>
            <w:r w:rsidR="002866A5">
              <w:rPr>
                <w:rFonts w:ascii="Times New Roman" w:eastAsia="Times New Roman" w:hAnsi="Times New Roman" w:cs="Times New Roman"/>
                <w:color w:val="000000"/>
                <w:sz w:val="24"/>
                <w:szCs w:val="24"/>
                <w:lang w:eastAsia="lv-LV"/>
              </w:rPr>
              <w:t>s</w:t>
            </w:r>
            <w:r w:rsidRPr="002452DB">
              <w:rPr>
                <w:rFonts w:ascii="Times New Roman" w:eastAsia="Times New Roman" w:hAnsi="Times New Roman" w:cs="Times New Roman"/>
                <w:color w:val="000000"/>
                <w:sz w:val="24"/>
                <w:szCs w:val="24"/>
                <w:lang w:eastAsia="lv-LV"/>
              </w:rPr>
              <w:t xml:space="preserve"> </w:t>
            </w:r>
            <w:r w:rsidR="005C2733">
              <w:rPr>
                <w:rFonts w:ascii="Times New Roman" w:eastAsia="Times New Roman" w:hAnsi="Times New Roman" w:cs="Times New Roman"/>
                <w:color w:val="000000"/>
                <w:sz w:val="24"/>
                <w:szCs w:val="24"/>
                <w:lang w:eastAsia="lv-LV"/>
              </w:rPr>
              <w:t xml:space="preserve">apdrošinātāju filiāļu un ārvalsts </w:t>
            </w:r>
            <w:proofErr w:type="spellStart"/>
            <w:r w:rsidRPr="002452DB">
              <w:rPr>
                <w:rFonts w:ascii="Times New Roman" w:eastAsia="Times New Roman" w:hAnsi="Times New Roman" w:cs="Times New Roman"/>
                <w:color w:val="000000"/>
                <w:sz w:val="24"/>
                <w:szCs w:val="24"/>
                <w:lang w:eastAsia="lv-LV"/>
              </w:rPr>
              <w:t>pārapdrošinātāju</w:t>
            </w:r>
            <w:proofErr w:type="spellEnd"/>
            <w:r w:rsidRPr="002452DB">
              <w:rPr>
                <w:rFonts w:ascii="Times New Roman" w:eastAsia="Times New Roman" w:hAnsi="Times New Roman" w:cs="Times New Roman"/>
                <w:color w:val="000000"/>
                <w:sz w:val="24"/>
                <w:szCs w:val="24"/>
                <w:lang w:eastAsia="lv-LV"/>
              </w:rPr>
              <w:t xml:space="preserve"> filiā</w:t>
            </w:r>
            <w:r>
              <w:rPr>
                <w:rFonts w:ascii="Times New Roman" w:eastAsia="Times New Roman" w:hAnsi="Times New Roman" w:cs="Times New Roman"/>
                <w:color w:val="000000"/>
                <w:sz w:val="24"/>
                <w:szCs w:val="24"/>
                <w:lang w:eastAsia="lv-LV"/>
              </w:rPr>
              <w:t>ļu</w:t>
            </w:r>
            <w:r w:rsidRPr="002452DB">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 xml:space="preserve">ceturkšņa un </w:t>
            </w:r>
            <w:r w:rsidRPr="002452DB">
              <w:rPr>
                <w:rFonts w:ascii="Times New Roman" w:eastAsia="Times New Roman" w:hAnsi="Times New Roman" w:cs="Times New Roman"/>
                <w:color w:val="000000"/>
                <w:sz w:val="24"/>
                <w:szCs w:val="24"/>
                <w:lang w:eastAsia="lv-LV"/>
              </w:rPr>
              <w:t>gada darbības pārskat</w:t>
            </w:r>
            <w:r>
              <w:rPr>
                <w:rFonts w:ascii="Times New Roman" w:eastAsia="Times New Roman" w:hAnsi="Times New Roman" w:cs="Times New Roman"/>
                <w:color w:val="000000"/>
                <w:sz w:val="24"/>
                <w:szCs w:val="24"/>
                <w:lang w:eastAsia="lv-LV"/>
              </w:rPr>
              <w:t>iem</w:t>
            </w:r>
            <w:r w:rsidRPr="002452DB">
              <w:rPr>
                <w:rFonts w:ascii="Times New Roman" w:eastAsia="Times New Roman" w:hAnsi="Times New Roman" w:cs="Times New Roman"/>
                <w:color w:val="000000"/>
                <w:sz w:val="24"/>
                <w:szCs w:val="24"/>
                <w:lang w:eastAsia="lv-LV"/>
              </w:rPr>
              <w:t xml:space="preserve"> statistikas vajadzībām</w:t>
            </w:r>
            <w:r w:rsidR="005C2733">
              <w:rPr>
                <w:rFonts w:ascii="Times New Roman" w:eastAsia="Times New Roman" w:hAnsi="Times New Roman" w:cs="Times New Roman"/>
                <w:color w:val="000000"/>
                <w:sz w:val="24"/>
                <w:szCs w:val="24"/>
                <w:lang w:eastAsia="lv-LV"/>
              </w:rPr>
              <w:t xml:space="preserve">, nosakot </w:t>
            </w:r>
            <w:r w:rsidR="002A59C8">
              <w:rPr>
                <w:rFonts w:ascii="Times New Roman" w:eastAsia="Times New Roman" w:hAnsi="Times New Roman" w:cs="Times New Roman"/>
                <w:color w:val="000000"/>
                <w:sz w:val="24"/>
                <w:szCs w:val="24"/>
                <w:lang w:eastAsia="lv-LV"/>
              </w:rPr>
              <w:t xml:space="preserve">prasību </w:t>
            </w:r>
            <w:r w:rsidR="005C2733">
              <w:rPr>
                <w:rFonts w:ascii="Times New Roman" w:eastAsia="Times New Roman" w:hAnsi="Times New Roman" w:cs="Times New Roman"/>
                <w:color w:val="000000"/>
                <w:sz w:val="24"/>
                <w:szCs w:val="24"/>
                <w:lang w:eastAsia="lv-LV"/>
              </w:rPr>
              <w:lastRenderedPageBreak/>
              <w:t xml:space="preserve">ceturkšņa statistisko datu ziņošanai turpmāk izmantot </w:t>
            </w:r>
            <w:r w:rsidR="00C06FB6">
              <w:rPr>
                <w:rFonts w:ascii="Times New Roman" w:eastAsia="Times New Roman" w:hAnsi="Times New Roman" w:cs="Times New Roman"/>
                <w:color w:val="000000"/>
                <w:sz w:val="24"/>
                <w:szCs w:val="24"/>
                <w:lang w:eastAsia="lv-LV"/>
              </w:rPr>
              <w:t xml:space="preserve">pārskatu veidnes </w:t>
            </w:r>
            <w:r w:rsidR="005C2733">
              <w:rPr>
                <w:rFonts w:ascii="Times New Roman" w:eastAsia="Times New Roman" w:hAnsi="Times New Roman" w:cs="Times New Roman"/>
                <w:color w:val="000000"/>
                <w:sz w:val="24"/>
                <w:szCs w:val="24"/>
                <w:lang w:eastAsia="lv-LV"/>
              </w:rPr>
              <w:t>L.08</w:t>
            </w:r>
            <w:r w:rsidR="002A59C8">
              <w:rPr>
                <w:rFonts w:ascii="Times New Roman" w:eastAsia="Times New Roman" w:hAnsi="Times New Roman" w:cs="Times New Roman"/>
                <w:color w:val="000000"/>
                <w:sz w:val="24"/>
                <w:szCs w:val="24"/>
                <w:lang w:eastAsia="lv-LV"/>
              </w:rPr>
              <w:t>.</w:t>
            </w:r>
            <w:r w:rsidR="005C2733">
              <w:rPr>
                <w:rFonts w:ascii="Times New Roman" w:eastAsia="Times New Roman" w:hAnsi="Times New Roman" w:cs="Times New Roman"/>
                <w:color w:val="000000"/>
                <w:sz w:val="24"/>
                <w:szCs w:val="24"/>
                <w:lang w:eastAsia="lv-LV"/>
              </w:rPr>
              <w:t xml:space="preserve"> un L.09</w:t>
            </w:r>
            <w:r w:rsidR="002A59C8">
              <w:rPr>
                <w:rFonts w:ascii="Times New Roman" w:eastAsia="Times New Roman" w:hAnsi="Times New Roman" w:cs="Times New Roman"/>
                <w:color w:val="000000"/>
                <w:sz w:val="24"/>
                <w:szCs w:val="24"/>
                <w:lang w:eastAsia="lv-LV"/>
              </w:rPr>
              <w:t>.</w:t>
            </w:r>
            <w:r w:rsidR="005C2733">
              <w:rPr>
                <w:rFonts w:ascii="Times New Roman" w:eastAsia="Times New Roman" w:hAnsi="Times New Roman" w:cs="Times New Roman"/>
                <w:color w:val="000000"/>
                <w:sz w:val="24"/>
                <w:szCs w:val="24"/>
                <w:lang w:eastAsia="lv-LV"/>
              </w:rPr>
              <w:t xml:space="preserve"> Šim mērķim </w:t>
            </w:r>
            <w:r w:rsidR="00C06FB6">
              <w:rPr>
                <w:rFonts w:ascii="Times New Roman" w:eastAsia="Times New Roman" w:hAnsi="Times New Roman" w:cs="Times New Roman"/>
                <w:color w:val="000000"/>
                <w:sz w:val="24"/>
                <w:szCs w:val="24"/>
                <w:lang w:eastAsia="lv-LV"/>
              </w:rPr>
              <w:t xml:space="preserve">pārskatu veidne </w:t>
            </w:r>
            <w:r w:rsidR="005C2733">
              <w:rPr>
                <w:rFonts w:ascii="Times New Roman" w:eastAsia="Times New Roman" w:hAnsi="Times New Roman" w:cs="Times New Roman"/>
                <w:color w:val="000000"/>
                <w:sz w:val="24"/>
                <w:szCs w:val="24"/>
                <w:lang w:eastAsia="lv-LV"/>
              </w:rPr>
              <w:t xml:space="preserve">L.08. </w:t>
            </w:r>
            <w:r w:rsidR="005C2733" w:rsidRPr="00E07CA2">
              <w:rPr>
                <w:rFonts w:ascii="Times New Roman" w:eastAsia="Times New Roman" w:hAnsi="Times New Roman" w:cs="Times New Roman"/>
                <w:color w:val="000000"/>
                <w:sz w:val="24"/>
                <w:szCs w:val="24"/>
                <w:lang w:eastAsia="lv-LV"/>
              </w:rPr>
              <w:t>"</w:t>
            </w:r>
            <w:r w:rsidR="005C2733" w:rsidRPr="0029364F">
              <w:rPr>
                <w:rFonts w:ascii="Times New Roman" w:eastAsia="Times New Roman" w:hAnsi="Times New Roman" w:cs="Times New Roman"/>
                <w:color w:val="000000"/>
                <w:sz w:val="24"/>
                <w:szCs w:val="24"/>
                <w:lang w:eastAsia="lv-LV"/>
              </w:rPr>
              <w:t xml:space="preserve">Dalībvalsts vai ārvalsts apdrošinātāja vai </w:t>
            </w:r>
            <w:proofErr w:type="spellStart"/>
            <w:r w:rsidR="005C2733" w:rsidRPr="0029364F">
              <w:rPr>
                <w:rFonts w:ascii="Times New Roman" w:eastAsia="Times New Roman" w:hAnsi="Times New Roman" w:cs="Times New Roman"/>
                <w:color w:val="000000"/>
                <w:sz w:val="24"/>
                <w:szCs w:val="24"/>
                <w:lang w:eastAsia="lv-LV"/>
              </w:rPr>
              <w:t>pārapdrošinātāja</w:t>
            </w:r>
            <w:proofErr w:type="spellEnd"/>
            <w:r w:rsidR="005C2733" w:rsidRPr="0029364F">
              <w:rPr>
                <w:rFonts w:ascii="Times New Roman" w:eastAsia="Times New Roman" w:hAnsi="Times New Roman" w:cs="Times New Roman"/>
                <w:color w:val="000000"/>
                <w:sz w:val="24"/>
                <w:szCs w:val="24"/>
                <w:lang w:eastAsia="lv-LV"/>
              </w:rPr>
              <w:t xml:space="preserve"> filiāles bilance</w:t>
            </w:r>
            <w:r w:rsidR="005C2733" w:rsidRPr="00E07CA2">
              <w:rPr>
                <w:rFonts w:ascii="Times New Roman" w:eastAsia="Times New Roman" w:hAnsi="Times New Roman" w:cs="Times New Roman"/>
                <w:color w:val="000000"/>
                <w:sz w:val="24"/>
                <w:szCs w:val="24"/>
                <w:lang w:eastAsia="lv-LV"/>
              </w:rPr>
              <w:t>"</w:t>
            </w:r>
            <w:r w:rsidR="005C2733">
              <w:rPr>
                <w:rFonts w:ascii="Times New Roman" w:eastAsia="Times New Roman" w:hAnsi="Times New Roman" w:cs="Times New Roman"/>
                <w:color w:val="000000"/>
                <w:sz w:val="24"/>
                <w:szCs w:val="24"/>
                <w:lang w:eastAsia="lv-LV"/>
              </w:rPr>
              <w:t xml:space="preserve"> papildināt</w:t>
            </w:r>
            <w:r w:rsidR="005D0D05">
              <w:rPr>
                <w:rFonts w:ascii="Times New Roman" w:eastAsia="Times New Roman" w:hAnsi="Times New Roman" w:cs="Times New Roman"/>
                <w:color w:val="000000"/>
                <w:sz w:val="24"/>
                <w:szCs w:val="24"/>
                <w:lang w:eastAsia="lv-LV"/>
              </w:rPr>
              <w:t>a</w:t>
            </w:r>
            <w:r w:rsidR="005C2733">
              <w:rPr>
                <w:rFonts w:ascii="Times New Roman" w:eastAsia="Times New Roman" w:hAnsi="Times New Roman" w:cs="Times New Roman"/>
                <w:color w:val="000000"/>
                <w:sz w:val="24"/>
                <w:szCs w:val="24"/>
                <w:lang w:eastAsia="lv-LV"/>
              </w:rPr>
              <w:t xml:space="preserve"> ar atsevišķām </w:t>
            </w:r>
            <w:proofErr w:type="spellStart"/>
            <w:r w:rsidR="005C2733">
              <w:rPr>
                <w:rFonts w:ascii="Times New Roman" w:eastAsia="Times New Roman" w:hAnsi="Times New Roman" w:cs="Times New Roman"/>
                <w:color w:val="000000"/>
                <w:sz w:val="24"/>
                <w:szCs w:val="24"/>
                <w:lang w:eastAsia="lv-LV"/>
              </w:rPr>
              <w:t>pārapdrošinātāju</w:t>
            </w:r>
            <w:proofErr w:type="spellEnd"/>
            <w:r w:rsidR="005C2733">
              <w:rPr>
                <w:rFonts w:ascii="Times New Roman" w:eastAsia="Times New Roman" w:hAnsi="Times New Roman" w:cs="Times New Roman"/>
                <w:color w:val="000000"/>
                <w:sz w:val="24"/>
                <w:szCs w:val="24"/>
                <w:lang w:eastAsia="lv-LV"/>
              </w:rPr>
              <w:t xml:space="preserve"> darbības ziņošanai nepieciešam</w:t>
            </w:r>
            <w:r w:rsidR="005D0D05">
              <w:rPr>
                <w:rFonts w:ascii="Times New Roman" w:eastAsia="Times New Roman" w:hAnsi="Times New Roman" w:cs="Times New Roman"/>
                <w:color w:val="000000"/>
                <w:sz w:val="24"/>
                <w:szCs w:val="24"/>
                <w:lang w:eastAsia="lv-LV"/>
              </w:rPr>
              <w:t>aj</w:t>
            </w:r>
            <w:r w:rsidR="005C2733">
              <w:rPr>
                <w:rFonts w:ascii="Times New Roman" w:eastAsia="Times New Roman" w:hAnsi="Times New Roman" w:cs="Times New Roman"/>
                <w:color w:val="000000"/>
                <w:sz w:val="24"/>
                <w:szCs w:val="24"/>
                <w:lang w:eastAsia="lv-LV"/>
              </w:rPr>
              <w:t>ām pieņemtās pārapdrošināšanas saistību pozīcijām</w:t>
            </w:r>
            <w:r>
              <w:rPr>
                <w:rFonts w:ascii="Times New Roman" w:eastAsia="Times New Roman" w:hAnsi="Times New Roman" w:cs="Times New Roman"/>
                <w:color w:val="000000"/>
                <w:sz w:val="24"/>
                <w:szCs w:val="24"/>
                <w:lang w:eastAsia="lv-LV"/>
              </w:rPr>
              <w:t>.</w:t>
            </w:r>
          </w:p>
          <w:p w14:paraId="6682FED2" w14:textId="216DF076" w:rsidR="00E07CA2" w:rsidRDefault="002452DB" w:rsidP="00B917A7">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projektā ietvertas prasības </w:t>
            </w:r>
            <w:r w:rsidR="002A59C8">
              <w:rPr>
                <w:rFonts w:ascii="Times New Roman" w:eastAsia="Times New Roman" w:hAnsi="Times New Roman" w:cs="Times New Roman"/>
                <w:color w:val="000000"/>
                <w:sz w:val="24"/>
                <w:szCs w:val="24"/>
                <w:lang w:eastAsia="lv-LV"/>
              </w:rPr>
              <w:t xml:space="preserve">attiecībā uz </w:t>
            </w:r>
            <w:r>
              <w:rPr>
                <w:rFonts w:ascii="Times New Roman" w:eastAsia="Times New Roman" w:hAnsi="Times New Roman" w:cs="Times New Roman"/>
                <w:color w:val="000000"/>
                <w:sz w:val="24"/>
                <w:szCs w:val="24"/>
                <w:lang w:eastAsia="lv-LV"/>
              </w:rPr>
              <w:t>a</w:t>
            </w:r>
            <w:r w:rsidRPr="002452DB">
              <w:rPr>
                <w:rFonts w:ascii="Times New Roman" w:eastAsia="Times New Roman" w:hAnsi="Times New Roman" w:cs="Times New Roman"/>
                <w:color w:val="000000"/>
                <w:sz w:val="24"/>
                <w:szCs w:val="24"/>
                <w:lang w:eastAsia="lv-LV"/>
              </w:rPr>
              <w:t xml:space="preserve">pdrošināšanas vai pārapdrošināšanas dalības sabiedrības, apdrošināšanas </w:t>
            </w:r>
            <w:proofErr w:type="spellStart"/>
            <w:r w:rsidRPr="002452DB">
              <w:rPr>
                <w:rFonts w:ascii="Times New Roman" w:eastAsia="Times New Roman" w:hAnsi="Times New Roman" w:cs="Times New Roman"/>
                <w:color w:val="000000"/>
                <w:sz w:val="24"/>
                <w:szCs w:val="24"/>
                <w:lang w:eastAsia="lv-LV"/>
              </w:rPr>
              <w:t>pārvaldītājsabiedrības</w:t>
            </w:r>
            <w:proofErr w:type="spellEnd"/>
            <w:r w:rsidRPr="002452DB">
              <w:rPr>
                <w:rFonts w:ascii="Times New Roman" w:eastAsia="Times New Roman" w:hAnsi="Times New Roman" w:cs="Times New Roman"/>
                <w:color w:val="000000"/>
                <w:sz w:val="24"/>
                <w:szCs w:val="24"/>
                <w:lang w:eastAsia="lv-LV"/>
              </w:rPr>
              <w:t xml:space="preserve"> un jauktas finanšu </w:t>
            </w:r>
            <w:proofErr w:type="spellStart"/>
            <w:r w:rsidRPr="002452DB">
              <w:rPr>
                <w:rFonts w:ascii="Times New Roman" w:eastAsia="Times New Roman" w:hAnsi="Times New Roman" w:cs="Times New Roman"/>
                <w:color w:val="000000"/>
                <w:sz w:val="24"/>
                <w:szCs w:val="24"/>
                <w:lang w:eastAsia="lv-LV"/>
              </w:rPr>
              <w:t>pārvaldītājsabiedrības</w:t>
            </w:r>
            <w:proofErr w:type="spellEnd"/>
            <w:r w:rsidRPr="002452DB">
              <w:rPr>
                <w:rFonts w:ascii="Times New Roman" w:eastAsia="Times New Roman" w:hAnsi="Times New Roman" w:cs="Times New Roman"/>
                <w:color w:val="000000"/>
                <w:sz w:val="24"/>
                <w:szCs w:val="24"/>
                <w:lang w:eastAsia="lv-LV"/>
              </w:rPr>
              <w:t xml:space="preserve"> grupas </w:t>
            </w:r>
            <w:r>
              <w:rPr>
                <w:rFonts w:ascii="Times New Roman" w:eastAsia="Times New Roman" w:hAnsi="Times New Roman" w:cs="Times New Roman"/>
                <w:color w:val="000000"/>
                <w:sz w:val="24"/>
                <w:szCs w:val="24"/>
                <w:lang w:eastAsia="lv-LV"/>
              </w:rPr>
              <w:t xml:space="preserve">ceturkšņa un </w:t>
            </w:r>
            <w:r w:rsidRPr="002452DB">
              <w:rPr>
                <w:rFonts w:ascii="Times New Roman" w:eastAsia="Times New Roman" w:hAnsi="Times New Roman" w:cs="Times New Roman"/>
                <w:color w:val="000000"/>
                <w:sz w:val="24"/>
                <w:szCs w:val="24"/>
                <w:lang w:eastAsia="lv-LV"/>
              </w:rPr>
              <w:t>gada darbības pārskat</w:t>
            </w:r>
            <w:r>
              <w:rPr>
                <w:rFonts w:ascii="Times New Roman" w:eastAsia="Times New Roman" w:hAnsi="Times New Roman" w:cs="Times New Roman"/>
                <w:color w:val="000000"/>
                <w:sz w:val="24"/>
                <w:szCs w:val="24"/>
                <w:lang w:eastAsia="lv-LV"/>
              </w:rPr>
              <w:t>iem, k</w:t>
            </w:r>
            <w:r w:rsidR="00E07CA2">
              <w:rPr>
                <w:rFonts w:ascii="Times New Roman" w:eastAsia="Times New Roman" w:hAnsi="Times New Roman" w:cs="Times New Roman"/>
                <w:color w:val="000000"/>
                <w:sz w:val="24"/>
                <w:szCs w:val="24"/>
                <w:lang w:eastAsia="lv-LV"/>
              </w:rPr>
              <w:t>o</w:t>
            </w:r>
            <w:r>
              <w:rPr>
                <w:rFonts w:ascii="Times New Roman" w:eastAsia="Times New Roman" w:hAnsi="Times New Roman" w:cs="Times New Roman"/>
                <w:color w:val="000000"/>
                <w:sz w:val="24"/>
                <w:szCs w:val="24"/>
                <w:lang w:eastAsia="lv-LV"/>
              </w:rPr>
              <w:t xml:space="preserve"> </w:t>
            </w:r>
            <w:r w:rsidR="005D0D05">
              <w:rPr>
                <w:rFonts w:ascii="Times New Roman" w:eastAsia="Times New Roman" w:hAnsi="Times New Roman" w:cs="Times New Roman"/>
                <w:color w:val="000000"/>
                <w:sz w:val="24"/>
                <w:szCs w:val="24"/>
                <w:lang w:eastAsia="lv-LV"/>
              </w:rPr>
              <w:t>minētie finanšu tirgus dalībnieki</w:t>
            </w:r>
            <w:r w:rsidR="005D0D05" w:rsidRPr="002452DB">
              <w:rPr>
                <w:rFonts w:ascii="Times New Roman" w:eastAsia="Times New Roman" w:hAnsi="Times New Roman" w:cs="Times New Roman"/>
                <w:color w:val="000000"/>
                <w:sz w:val="24"/>
                <w:szCs w:val="24"/>
                <w:lang w:eastAsia="lv-LV"/>
              </w:rPr>
              <w:t xml:space="preserve"> </w:t>
            </w:r>
            <w:r w:rsidRPr="002452DB">
              <w:rPr>
                <w:rFonts w:ascii="Times New Roman" w:eastAsia="Times New Roman" w:hAnsi="Times New Roman" w:cs="Times New Roman"/>
                <w:color w:val="000000"/>
                <w:sz w:val="24"/>
                <w:szCs w:val="24"/>
                <w:lang w:eastAsia="lv-LV"/>
              </w:rPr>
              <w:t>iesniedz Latvijas Bankai, ja tā ir grupas uzraudzības iestāde</w:t>
            </w:r>
            <w:r w:rsidR="00E07CA2">
              <w:rPr>
                <w:rFonts w:ascii="Times New Roman" w:eastAsia="Times New Roman" w:hAnsi="Times New Roman" w:cs="Times New Roman"/>
                <w:color w:val="000000"/>
                <w:sz w:val="24"/>
                <w:szCs w:val="24"/>
                <w:lang w:eastAsia="lv-LV"/>
              </w:rPr>
              <w:t>.</w:t>
            </w:r>
          </w:p>
          <w:p w14:paraId="03B23F71" w14:textId="3D6E053E" w:rsidR="00E07CA2" w:rsidRDefault="00E07CA2" w:rsidP="00B917A7">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projektā ietvertas </w:t>
            </w:r>
            <w:r w:rsidR="00C515EA">
              <w:rPr>
                <w:rFonts w:ascii="Times New Roman" w:eastAsia="Times New Roman" w:hAnsi="Times New Roman" w:cs="Times New Roman"/>
                <w:color w:val="000000"/>
                <w:sz w:val="24"/>
                <w:szCs w:val="24"/>
                <w:lang w:eastAsia="lv-LV"/>
              </w:rPr>
              <w:t xml:space="preserve">tiesību normas, kas izriet no </w:t>
            </w:r>
            <w:r w:rsidR="00C515EA" w:rsidRPr="00C515EA">
              <w:rPr>
                <w:rFonts w:ascii="Times New Roman" w:eastAsia="Times New Roman" w:hAnsi="Times New Roman" w:cs="Times New Roman"/>
                <w:color w:val="000000"/>
                <w:sz w:val="24"/>
                <w:szCs w:val="24"/>
                <w:lang w:eastAsia="lv-LV"/>
              </w:rPr>
              <w:t>Eiropas Apdrošināšanas un aroda pensiju iestādes 2015.</w:t>
            </w:r>
            <w:r w:rsidR="00B917A7">
              <w:rPr>
                <w:rFonts w:ascii="Times New Roman" w:eastAsia="Times New Roman" w:hAnsi="Times New Roman" w:cs="Times New Roman"/>
                <w:color w:val="000000"/>
                <w:sz w:val="24"/>
                <w:szCs w:val="24"/>
                <w:lang w:eastAsia="lv-LV"/>
              </w:rPr>
              <w:t> </w:t>
            </w:r>
            <w:r w:rsidR="00C515EA" w:rsidRPr="00C515EA">
              <w:rPr>
                <w:rFonts w:ascii="Times New Roman" w:eastAsia="Times New Roman" w:hAnsi="Times New Roman" w:cs="Times New Roman"/>
                <w:color w:val="000000"/>
                <w:sz w:val="24"/>
                <w:szCs w:val="24"/>
                <w:lang w:eastAsia="lv-LV"/>
              </w:rPr>
              <w:t>gada 14.</w:t>
            </w:r>
            <w:r w:rsidR="00B917A7">
              <w:rPr>
                <w:rFonts w:ascii="Times New Roman" w:eastAsia="Times New Roman" w:hAnsi="Times New Roman" w:cs="Times New Roman"/>
                <w:color w:val="000000"/>
                <w:sz w:val="24"/>
                <w:szCs w:val="24"/>
                <w:lang w:eastAsia="lv-LV"/>
              </w:rPr>
              <w:t> </w:t>
            </w:r>
            <w:r w:rsidR="00C515EA" w:rsidRPr="00C515EA">
              <w:rPr>
                <w:rFonts w:ascii="Times New Roman" w:eastAsia="Times New Roman" w:hAnsi="Times New Roman" w:cs="Times New Roman"/>
                <w:color w:val="000000"/>
                <w:sz w:val="24"/>
                <w:szCs w:val="24"/>
                <w:lang w:eastAsia="lv-LV"/>
              </w:rPr>
              <w:t>septembra pamatnostādnēm EIOPA-BoS-15/109 "Pamatnostādnes par pārskatiem un informācijas publiskošanu"</w:t>
            </w:r>
            <w:r w:rsidR="00DB3529">
              <w:rPr>
                <w:rFonts w:ascii="Times New Roman" w:eastAsia="Times New Roman" w:hAnsi="Times New Roman" w:cs="Times New Roman"/>
                <w:color w:val="000000"/>
                <w:sz w:val="24"/>
                <w:szCs w:val="24"/>
                <w:lang w:eastAsia="lv-LV"/>
              </w:rPr>
              <w:t>,</w:t>
            </w:r>
            <w:r w:rsidR="00C515EA">
              <w:rPr>
                <w:rFonts w:ascii="Times New Roman" w:eastAsia="Times New Roman" w:hAnsi="Times New Roman" w:cs="Times New Roman"/>
                <w:color w:val="000000"/>
                <w:sz w:val="24"/>
                <w:szCs w:val="24"/>
                <w:lang w:eastAsia="lv-LV"/>
              </w:rPr>
              <w:t xml:space="preserve"> </w:t>
            </w:r>
            <w:r w:rsidR="00DB3529">
              <w:rPr>
                <w:rFonts w:ascii="Times New Roman" w:eastAsia="Times New Roman" w:hAnsi="Times New Roman" w:cs="Times New Roman"/>
                <w:color w:val="000000"/>
                <w:sz w:val="24"/>
                <w:szCs w:val="24"/>
                <w:lang w:eastAsia="lv-LV"/>
              </w:rPr>
              <w:t>l</w:t>
            </w:r>
            <w:r w:rsidR="00C515EA">
              <w:rPr>
                <w:rFonts w:ascii="Times New Roman" w:eastAsia="Times New Roman" w:hAnsi="Times New Roman" w:cs="Times New Roman"/>
                <w:color w:val="000000"/>
                <w:sz w:val="24"/>
                <w:szCs w:val="24"/>
                <w:lang w:eastAsia="lv-LV"/>
              </w:rPr>
              <w:t xml:space="preserve">īdz ar to </w:t>
            </w:r>
            <w:r w:rsidR="00DB3529">
              <w:rPr>
                <w:rFonts w:ascii="Times New Roman" w:eastAsia="Times New Roman" w:hAnsi="Times New Roman" w:cs="Times New Roman"/>
                <w:color w:val="000000"/>
                <w:sz w:val="24"/>
                <w:szCs w:val="24"/>
                <w:lang w:eastAsia="lv-LV"/>
              </w:rPr>
              <w:t>nosakot</w:t>
            </w:r>
            <w:r w:rsidR="00C515EA" w:rsidRPr="00C515EA">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 xml:space="preserve">papildu prasības, kas </w:t>
            </w:r>
            <w:r w:rsidRPr="00E07CA2">
              <w:rPr>
                <w:rFonts w:ascii="Times New Roman" w:eastAsia="Times New Roman" w:hAnsi="Times New Roman" w:cs="Times New Roman"/>
                <w:color w:val="000000"/>
                <w:sz w:val="24"/>
                <w:szCs w:val="24"/>
                <w:lang w:eastAsia="lv-LV"/>
              </w:rPr>
              <w:t xml:space="preserve">apdrošināšanas </w:t>
            </w:r>
            <w:r w:rsidR="007620BC">
              <w:rPr>
                <w:rFonts w:ascii="Times New Roman" w:eastAsia="Times New Roman" w:hAnsi="Times New Roman" w:cs="Times New Roman"/>
                <w:color w:val="000000"/>
                <w:sz w:val="24"/>
                <w:szCs w:val="24"/>
                <w:lang w:eastAsia="lv-LV"/>
              </w:rPr>
              <w:t xml:space="preserve">sabiedrībām </w:t>
            </w:r>
            <w:r w:rsidRPr="00E07CA2">
              <w:rPr>
                <w:rFonts w:ascii="Times New Roman" w:eastAsia="Times New Roman" w:hAnsi="Times New Roman" w:cs="Times New Roman"/>
                <w:color w:val="000000"/>
                <w:sz w:val="24"/>
                <w:szCs w:val="24"/>
                <w:lang w:eastAsia="lv-LV"/>
              </w:rPr>
              <w:t>vai pārapdrošināšanas sabiedrībām, ārvalst</w:t>
            </w:r>
            <w:r w:rsidR="007620BC">
              <w:rPr>
                <w:rFonts w:ascii="Times New Roman" w:eastAsia="Times New Roman" w:hAnsi="Times New Roman" w:cs="Times New Roman"/>
                <w:color w:val="000000"/>
                <w:sz w:val="24"/>
                <w:szCs w:val="24"/>
                <w:lang w:eastAsia="lv-LV"/>
              </w:rPr>
              <w:t>s</w:t>
            </w:r>
            <w:r w:rsidRPr="00E07CA2">
              <w:rPr>
                <w:rFonts w:ascii="Times New Roman" w:eastAsia="Times New Roman" w:hAnsi="Times New Roman" w:cs="Times New Roman"/>
                <w:color w:val="000000"/>
                <w:sz w:val="24"/>
                <w:szCs w:val="24"/>
                <w:lang w:eastAsia="lv-LV"/>
              </w:rPr>
              <w:t xml:space="preserve"> apdrošinātāju</w:t>
            </w:r>
            <w:r w:rsidR="007620BC">
              <w:rPr>
                <w:rFonts w:ascii="Times New Roman" w:eastAsia="Times New Roman" w:hAnsi="Times New Roman" w:cs="Times New Roman"/>
                <w:color w:val="000000"/>
                <w:sz w:val="24"/>
                <w:szCs w:val="24"/>
                <w:lang w:eastAsia="lv-LV"/>
              </w:rPr>
              <w:t xml:space="preserve"> filiālēm</w:t>
            </w:r>
            <w:r w:rsidRPr="00E07CA2">
              <w:rPr>
                <w:rFonts w:ascii="Times New Roman" w:eastAsia="Times New Roman" w:hAnsi="Times New Roman" w:cs="Times New Roman"/>
                <w:color w:val="000000"/>
                <w:sz w:val="24"/>
                <w:szCs w:val="24"/>
                <w:lang w:eastAsia="lv-LV"/>
              </w:rPr>
              <w:t xml:space="preserve">, kā arī apdrošināšanas vai pārapdrošināšanas dalības sabiedrībām, apdrošināšanas </w:t>
            </w:r>
            <w:proofErr w:type="spellStart"/>
            <w:r w:rsidRPr="00E07CA2">
              <w:rPr>
                <w:rFonts w:ascii="Times New Roman" w:eastAsia="Times New Roman" w:hAnsi="Times New Roman" w:cs="Times New Roman"/>
                <w:color w:val="000000"/>
                <w:sz w:val="24"/>
                <w:szCs w:val="24"/>
                <w:lang w:eastAsia="lv-LV"/>
              </w:rPr>
              <w:t>pārvaldītājsabiedrībām</w:t>
            </w:r>
            <w:proofErr w:type="spellEnd"/>
            <w:r w:rsidRPr="00E07CA2">
              <w:rPr>
                <w:rFonts w:ascii="Times New Roman" w:eastAsia="Times New Roman" w:hAnsi="Times New Roman" w:cs="Times New Roman"/>
                <w:color w:val="000000"/>
                <w:sz w:val="24"/>
                <w:szCs w:val="24"/>
                <w:lang w:eastAsia="lv-LV"/>
              </w:rPr>
              <w:t xml:space="preserve"> un jauktām finanšu </w:t>
            </w:r>
            <w:proofErr w:type="spellStart"/>
            <w:r w:rsidRPr="00E07CA2">
              <w:rPr>
                <w:rFonts w:ascii="Times New Roman" w:eastAsia="Times New Roman" w:hAnsi="Times New Roman" w:cs="Times New Roman"/>
                <w:color w:val="000000"/>
                <w:sz w:val="24"/>
                <w:szCs w:val="24"/>
                <w:lang w:eastAsia="lv-LV"/>
              </w:rPr>
              <w:t>pārvaldītājsabiedrībām</w:t>
            </w:r>
            <w:proofErr w:type="spellEnd"/>
            <w:r>
              <w:rPr>
                <w:rFonts w:ascii="Times New Roman" w:eastAsia="Times New Roman" w:hAnsi="Times New Roman" w:cs="Times New Roman"/>
                <w:color w:val="000000"/>
                <w:sz w:val="24"/>
                <w:szCs w:val="24"/>
                <w:lang w:eastAsia="lv-LV"/>
              </w:rPr>
              <w:t xml:space="preserve"> jāievēro, s</w:t>
            </w:r>
            <w:r w:rsidRPr="00E07CA2">
              <w:rPr>
                <w:rFonts w:ascii="Times New Roman" w:eastAsia="Times New Roman" w:hAnsi="Times New Roman" w:cs="Times New Roman"/>
                <w:color w:val="000000"/>
                <w:sz w:val="24"/>
                <w:szCs w:val="24"/>
                <w:lang w:eastAsia="lv-LV"/>
              </w:rPr>
              <w:t>agatavojot periodisko uzraudzības pārskatu atbilstoši ES regul</w:t>
            </w:r>
            <w:r>
              <w:rPr>
                <w:rFonts w:ascii="Times New Roman" w:eastAsia="Times New Roman" w:hAnsi="Times New Roman" w:cs="Times New Roman"/>
                <w:color w:val="000000"/>
                <w:sz w:val="24"/>
                <w:szCs w:val="24"/>
                <w:lang w:eastAsia="lv-LV"/>
              </w:rPr>
              <w:t>ā</w:t>
            </w:r>
            <w:r w:rsidRPr="00E07CA2">
              <w:rPr>
                <w:rFonts w:ascii="Times New Roman" w:eastAsia="Times New Roman" w:hAnsi="Times New Roman" w:cs="Times New Roman"/>
                <w:color w:val="000000"/>
                <w:sz w:val="24"/>
                <w:szCs w:val="24"/>
                <w:lang w:eastAsia="lv-LV"/>
              </w:rPr>
              <w:t xml:space="preserve"> Nr.</w:t>
            </w:r>
            <w:r w:rsidR="00B917A7">
              <w:rPr>
                <w:rFonts w:ascii="Times New Roman" w:eastAsia="Times New Roman" w:hAnsi="Times New Roman" w:cs="Times New Roman"/>
                <w:color w:val="000000"/>
                <w:sz w:val="24"/>
                <w:szCs w:val="24"/>
                <w:lang w:eastAsia="lv-LV"/>
              </w:rPr>
              <w:t> </w:t>
            </w:r>
            <w:r w:rsidRPr="00E07CA2">
              <w:rPr>
                <w:rFonts w:ascii="Times New Roman" w:eastAsia="Times New Roman" w:hAnsi="Times New Roman" w:cs="Times New Roman"/>
                <w:color w:val="000000"/>
                <w:sz w:val="24"/>
                <w:szCs w:val="24"/>
                <w:lang w:eastAsia="lv-LV"/>
              </w:rPr>
              <w:t>2015/35</w:t>
            </w:r>
            <w:r>
              <w:rPr>
                <w:rFonts w:ascii="Times New Roman" w:eastAsia="Times New Roman" w:hAnsi="Times New Roman" w:cs="Times New Roman"/>
                <w:color w:val="000000"/>
                <w:sz w:val="24"/>
                <w:szCs w:val="24"/>
                <w:lang w:eastAsia="lv-LV"/>
              </w:rPr>
              <w:t xml:space="preserve"> noteiktajam.</w:t>
            </w:r>
          </w:p>
          <w:p w14:paraId="739DE6EE" w14:textId="68C502A8" w:rsidR="00751877" w:rsidRDefault="00E07CA2" w:rsidP="00B917A7">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Noteikum</w:t>
            </w:r>
            <w:r w:rsidR="005D0D05">
              <w:rPr>
                <w:rFonts w:ascii="Times New Roman" w:eastAsia="Times New Roman" w:hAnsi="Times New Roman" w:cs="Times New Roman"/>
                <w:color w:val="000000"/>
                <w:sz w:val="24"/>
                <w:szCs w:val="24"/>
                <w:lang w:eastAsia="lv-LV"/>
              </w:rPr>
              <w:t>u</w:t>
            </w:r>
            <w:r>
              <w:rPr>
                <w:rFonts w:ascii="Times New Roman" w:eastAsia="Times New Roman" w:hAnsi="Times New Roman" w:cs="Times New Roman"/>
                <w:color w:val="000000"/>
                <w:sz w:val="24"/>
                <w:szCs w:val="24"/>
                <w:lang w:eastAsia="lv-LV"/>
              </w:rPr>
              <w:t xml:space="preserve"> projektā ietverti p</w:t>
            </w:r>
            <w:r w:rsidRPr="00E07CA2">
              <w:rPr>
                <w:rFonts w:ascii="Times New Roman" w:eastAsia="Times New Roman" w:hAnsi="Times New Roman" w:cs="Times New Roman"/>
                <w:color w:val="000000"/>
                <w:sz w:val="24"/>
                <w:szCs w:val="24"/>
                <w:lang w:eastAsia="lv-LV"/>
              </w:rPr>
              <w:t>askaidrojumi par "Pārskatā par tiešo apdrošināšanu", "Darbības pārskatā", "Apdrošināšanas vai pārapdrošināšanas portfeļa pārskatā", "Pārskatā par izdevumu struktūru un ieguldījumu darbību", "</w:t>
            </w:r>
            <w:r w:rsidR="002C6211" w:rsidRPr="002C6211">
              <w:rPr>
                <w:rFonts w:ascii="Times New Roman" w:eastAsia="Times New Roman" w:hAnsi="Times New Roman" w:cs="Times New Roman"/>
                <w:color w:val="000000"/>
                <w:sz w:val="24"/>
                <w:szCs w:val="24"/>
                <w:lang w:eastAsia="lv-LV"/>
              </w:rPr>
              <w:t xml:space="preserve">Apdrošināšanas sabiedrības vai pārapdrošināšanas sabiedrības </w:t>
            </w:r>
            <w:r w:rsidRPr="00E07CA2">
              <w:rPr>
                <w:rFonts w:ascii="Times New Roman" w:eastAsia="Times New Roman" w:hAnsi="Times New Roman" w:cs="Times New Roman"/>
                <w:color w:val="000000"/>
                <w:sz w:val="24"/>
                <w:szCs w:val="24"/>
                <w:lang w:eastAsia="lv-LV"/>
              </w:rPr>
              <w:t>pārskatu veidņu atsevišķu pozīciju izvērsumā", "Dalībvalsts</w:t>
            </w:r>
            <w:r w:rsidR="005C2733">
              <w:rPr>
                <w:rFonts w:ascii="Times New Roman" w:eastAsia="Times New Roman" w:hAnsi="Times New Roman" w:cs="Times New Roman"/>
                <w:color w:val="000000"/>
                <w:sz w:val="24"/>
                <w:szCs w:val="24"/>
                <w:lang w:eastAsia="lv-LV"/>
              </w:rPr>
              <w:t xml:space="preserve"> vai ārvalsts</w:t>
            </w:r>
            <w:r w:rsidRPr="00E07CA2">
              <w:rPr>
                <w:rFonts w:ascii="Times New Roman" w:eastAsia="Times New Roman" w:hAnsi="Times New Roman" w:cs="Times New Roman"/>
                <w:color w:val="000000"/>
                <w:sz w:val="24"/>
                <w:szCs w:val="24"/>
                <w:lang w:eastAsia="lv-LV"/>
              </w:rPr>
              <w:t xml:space="preserve"> apdrošinātāja </w:t>
            </w:r>
            <w:r w:rsidR="007620BC">
              <w:rPr>
                <w:rFonts w:ascii="Times New Roman" w:eastAsia="Times New Roman" w:hAnsi="Times New Roman" w:cs="Times New Roman"/>
                <w:color w:val="000000"/>
                <w:sz w:val="24"/>
                <w:szCs w:val="24"/>
                <w:lang w:eastAsia="lv-LV"/>
              </w:rPr>
              <w:t xml:space="preserve">filiāles </w:t>
            </w:r>
            <w:r w:rsidRPr="00E07CA2">
              <w:rPr>
                <w:rFonts w:ascii="Times New Roman" w:eastAsia="Times New Roman" w:hAnsi="Times New Roman" w:cs="Times New Roman"/>
                <w:color w:val="000000"/>
                <w:sz w:val="24"/>
                <w:szCs w:val="24"/>
                <w:lang w:eastAsia="lv-LV"/>
              </w:rPr>
              <w:t xml:space="preserve">vai </w:t>
            </w:r>
            <w:r w:rsidR="007620BC">
              <w:rPr>
                <w:rFonts w:ascii="Times New Roman" w:eastAsia="Times New Roman" w:hAnsi="Times New Roman" w:cs="Times New Roman"/>
                <w:color w:val="000000"/>
                <w:sz w:val="24"/>
                <w:szCs w:val="24"/>
                <w:lang w:eastAsia="lv-LV"/>
              </w:rPr>
              <w:t xml:space="preserve">dalībvalsts </w:t>
            </w:r>
            <w:r w:rsidR="005C2733">
              <w:rPr>
                <w:rFonts w:ascii="Times New Roman" w:eastAsia="Times New Roman" w:hAnsi="Times New Roman" w:cs="Times New Roman"/>
                <w:color w:val="000000"/>
                <w:sz w:val="24"/>
                <w:szCs w:val="24"/>
                <w:lang w:eastAsia="lv-LV"/>
              </w:rPr>
              <w:t xml:space="preserve">vai ārvalsts </w:t>
            </w:r>
            <w:proofErr w:type="spellStart"/>
            <w:r w:rsidRPr="00E07CA2">
              <w:rPr>
                <w:rFonts w:ascii="Times New Roman" w:eastAsia="Times New Roman" w:hAnsi="Times New Roman" w:cs="Times New Roman"/>
                <w:color w:val="000000"/>
                <w:sz w:val="24"/>
                <w:szCs w:val="24"/>
                <w:lang w:eastAsia="lv-LV"/>
              </w:rPr>
              <w:t>pārapdrošinātāja</w:t>
            </w:r>
            <w:proofErr w:type="spellEnd"/>
            <w:r w:rsidRPr="00E07CA2">
              <w:rPr>
                <w:rFonts w:ascii="Times New Roman" w:eastAsia="Times New Roman" w:hAnsi="Times New Roman" w:cs="Times New Roman"/>
                <w:color w:val="000000"/>
                <w:sz w:val="24"/>
                <w:szCs w:val="24"/>
                <w:lang w:eastAsia="lv-LV"/>
              </w:rPr>
              <w:t xml:space="preserve"> filiāles bilancē</w:t>
            </w:r>
            <w:r w:rsidR="00CD27C9" w:rsidRPr="00E07CA2">
              <w:rPr>
                <w:rFonts w:ascii="Times New Roman" w:eastAsia="Times New Roman" w:hAnsi="Times New Roman" w:cs="Times New Roman"/>
                <w:color w:val="000000"/>
                <w:sz w:val="24"/>
                <w:szCs w:val="24"/>
                <w:lang w:eastAsia="lv-LV"/>
              </w:rPr>
              <w:t>"</w:t>
            </w:r>
            <w:r w:rsidRPr="00E07CA2">
              <w:rPr>
                <w:rFonts w:ascii="Times New Roman" w:eastAsia="Times New Roman" w:hAnsi="Times New Roman" w:cs="Times New Roman"/>
                <w:color w:val="000000"/>
                <w:sz w:val="24"/>
                <w:szCs w:val="24"/>
                <w:lang w:eastAsia="lv-LV"/>
              </w:rPr>
              <w:t xml:space="preserve">, </w:t>
            </w:r>
            <w:r w:rsidR="00CD27C9" w:rsidRPr="00E07CA2">
              <w:rPr>
                <w:rFonts w:ascii="Times New Roman" w:eastAsia="Times New Roman" w:hAnsi="Times New Roman" w:cs="Times New Roman"/>
                <w:color w:val="000000"/>
                <w:sz w:val="24"/>
                <w:szCs w:val="24"/>
                <w:lang w:eastAsia="lv-LV"/>
              </w:rPr>
              <w:t>"</w:t>
            </w:r>
            <w:r w:rsidRPr="00E07CA2">
              <w:rPr>
                <w:rFonts w:ascii="Times New Roman" w:eastAsia="Times New Roman" w:hAnsi="Times New Roman" w:cs="Times New Roman"/>
                <w:color w:val="000000"/>
                <w:sz w:val="24"/>
                <w:szCs w:val="24"/>
                <w:lang w:eastAsia="lv-LV"/>
              </w:rPr>
              <w:t>Pārskatā par saņemtajām sūdzībām</w:t>
            </w:r>
            <w:r w:rsidR="00CD27C9" w:rsidRPr="00E07CA2">
              <w:rPr>
                <w:rFonts w:ascii="Times New Roman" w:eastAsia="Times New Roman" w:hAnsi="Times New Roman" w:cs="Times New Roman"/>
                <w:color w:val="000000"/>
                <w:sz w:val="24"/>
                <w:szCs w:val="24"/>
                <w:lang w:eastAsia="lv-LV"/>
              </w:rPr>
              <w:t>"</w:t>
            </w:r>
            <w:r w:rsidRPr="00E07CA2">
              <w:rPr>
                <w:rFonts w:ascii="Times New Roman" w:eastAsia="Times New Roman" w:hAnsi="Times New Roman" w:cs="Times New Roman"/>
                <w:color w:val="000000"/>
                <w:sz w:val="24"/>
                <w:szCs w:val="24"/>
                <w:lang w:eastAsia="lv-LV"/>
              </w:rPr>
              <w:t xml:space="preserve"> un </w:t>
            </w:r>
            <w:r w:rsidR="00CD27C9" w:rsidRPr="00E07CA2">
              <w:rPr>
                <w:rFonts w:ascii="Times New Roman" w:eastAsia="Times New Roman" w:hAnsi="Times New Roman" w:cs="Times New Roman"/>
                <w:color w:val="000000"/>
                <w:sz w:val="24"/>
                <w:szCs w:val="24"/>
                <w:lang w:eastAsia="lv-LV"/>
              </w:rPr>
              <w:t>"</w:t>
            </w:r>
            <w:r w:rsidRPr="00E07CA2">
              <w:rPr>
                <w:rFonts w:ascii="Times New Roman" w:eastAsia="Times New Roman" w:hAnsi="Times New Roman" w:cs="Times New Roman"/>
                <w:color w:val="000000"/>
                <w:sz w:val="24"/>
                <w:szCs w:val="24"/>
                <w:lang w:eastAsia="lv-LV"/>
              </w:rPr>
              <w:t>Pārskatā par apdrošināšanas izplatīšanas kanāliem</w:t>
            </w:r>
            <w:r w:rsidR="00CD27C9" w:rsidRPr="00E07CA2">
              <w:rPr>
                <w:rFonts w:ascii="Times New Roman" w:eastAsia="Times New Roman" w:hAnsi="Times New Roman" w:cs="Times New Roman"/>
                <w:color w:val="000000"/>
                <w:sz w:val="24"/>
                <w:szCs w:val="24"/>
                <w:lang w:eastAsia="lv-LV"/>
              </w:rPr>
              <w:t>"</w:t>
            </w:r>
            <w:r w:rsidRPr="00E07CA2">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uzrādāmo</w:t>
            </w:r>
            <w:r w:rsidRPr="00E07CA2">
              <w:rPr>
                <w:rFonts w:ascii="Times New Roman" w:eastAsia="Times New Roman" w:hAnsi="Times New Roman" w:cs="Times New Roman"/>
                <w:color w:val="000000"/>
                <w:sz w:val="24"/>
                <w:szCs w:val="24"/>
                <w:lang w:eastAsia="lv-LV"/>
              </w:rPr>
              <w:t xml:space="preserve"> informācij</w:t>
            </w:r>
            <w:r>
              <w:rPr>
                <w:rFonts w:ascii="Times New Roman" w:eastAsia="Times New Roman" w:hAnsi="Times New Roman" w:cs="Times New Roman"/>
                <w:color w:val="000000"/>
                <w:sz w:val="24"/>
                <w:szCs w:val="24"/>
                <w:lang w:eastAsia="lv-LV"/>
              </w:rPr>
              <w:t>u.</w:t>
            </w:r>
            <w:r w:rsidR="005C2733">
              <w:rPr>
                <w:rFonts w:ascii="Times New Roman" w:eastAsia="Times New Roman" w:hAnsi="Times New Roman" w:cs="Times New Roman"/>
                <w:color w:val="000000"/>
                <w:sz w:val="24"/>
                <w:szCs w:val="24"/>
                <w:lang w:eastAsia="lv-LV"/>
              </w:rPr>
              <w:t xml:space="preserve"> Pārskatos, kas satur statistiskos datus un uzraudzībai nepieciešamo informāciju, izmantojamie kodi un pazīmes apkopotas </w:t>
            </w:r>
            <w:r w:rsidR="005D0D05">
              <w:rPr>
                <w:rFonts w:ascii="Times New Roman" w:eastAsia="Times New Roman" w:hAnsi="Times New Roman" w:cs="Times New Roman"/>
                <w:color w:val="000000"/>
                <w:sz w:val="24"/>
                <w:szCs w:val="24"/>
                <w:lang w:eastAsia="lv-LV"/>
              </w:rPr>
              <w:t xml:space="preserve">noteikumu projekta </w:t>
            </w:r>
            <w:r w:rsidR="005C2733">
              <w:rPr>
                <w:rFonts w:ascii="Times New Roman" w:eastAsia="Times New Roman" w:hAnsi="Times New Roman" w:cs="Times New Roman"/>
                <w:color w:val="000000"/>
                <w:sz w:val="24"/>
                <w:szCs w:val="24"/>
                <w:lang w:eastAsia="lv-LV"/>
              </w:rPr>
              <w:t>2.</w:t>
            </w:r>
            <w:r w:rsidR="00B917A7">
              <w:rPr>
                <w:rFonts w:ascii="Times New Roman" w:eastAsia="Times New Roman" w:hAnsi="Times New Roman" w:cs="Times New Roman"/>
                <w:color w:val="000000"/>
                <w:sz w:val="24"/>
                <w:szCs w:val="24"/>
                <w:lang w:eastAsia="lv-LV"/>
              </w:rPr>
              <w:t> </w:t>
            </w:r>
            <w:r w:rsidR="005C2733">
              <w:rPr>
                <w:rFonts w:ascii="Times New Roman" w:eastAsia="Times New Roman" w:hAnsi="Times New Roman" w:cs="Times New Roman"/>
                <w:color w:val="000000"/>
                <w:sz w:val="24"/>
                <w:szCs w:val="24"/>
                <w:lang w:eastAsia="lv-LV"/>
              </w:rPr>
              <w:t xml:space="preserve">pielikumā </w:t>
            </w:r>
            <w:r w:rsidR="005C2733" w:rsidRPr="00BF3F58">
              <w:rPr>
                <w:rFonts w:ascii="Times New Roman" w:hAnsi="Times New Roman" w:cs="Times New Roman"/>
                <w:sz w:val="24"/>
                <w:szCs w:val="24"/>
              </w:rPr>
              <w:t>"</w:t>
            </w:r>
            <w:r w:rsidR="005C2733">
              <w:rPr>
                <w:rFonts w:ascii="Times New Roman" w:hAnsi="Times New Roman" w:cs="Times New Roman"/>
                <w:sz w:val="24"/>
                <w:szCs w:val="24"/>
              </w:rPr>
              <w:t>Izmantotie kodi un pazīmes</w:t>
            </w:r>
            <w:r w:rsidR="005C2733" w:rsidRPr="00BF3F58">
              <w:rPr>
                <w:rFonts w:ascii="Times New Roman" w:hAnsi="Times New Roman" w:cs="Times New Roman"/>
                <w:sz w:val="24"/>
                <w:szCs w:val="24"/>
              </w:rPr>
              <w:t>"</w:t>
            </w:r>
            <w:r w:rsidR="005C2733">
              <w:rPr>
                <w:rFonts w:ascii="Times New Roman" w:eastAsia="Times New Roman" w:hAnsi="Times New Roman" w:cs="Times New Roman"/>
                <w:color w:val="000000"/>
                <w:sz w:val="24"/>
                <w:szCs w:val="24"/>
                <w:lang w:eastAsia="lv-LV"/>
              </w:rPr>
              <w:t>.</w:t>
            </w:r>
          </w:p>
          <w:p w14:paraId="605BCB75" w14:textId="16677B5C" w:rsidR="00262981" w:rsidRDefault="00262981" w:rsidP="00B917A7">
            <w:pPr>
              <w:pStyle w:val="NApunkts1"/>
              <w:numPr>
                <w:ilvl w:val="0"/>
                <w:numId w:val="0"/>
              </w:numPr>
              <w:spacing w:before="0" w:after="120"/>
            </w:pPr>
            <w:r>
              <w:rPr>
                <w:color w:val="000000"/>
              </w:rPr>
              <w:t xml:space="preserve">Noteikumu projekts paredz, ka konkrētu uzskaitīto pārskaitu veidņu </w:t>
            </w:r>
            <w:r w:rsidRPr="0064743E">
              <w:t>papildu pozīcijas aizpilda, ievērojot Eiropas Centrālās bankas tīmekļvietnes sadaļā "</w:t>
            </w:r>
            <w:proofErr w:type="spellStart"/>
            <w:r w:rsidRPr="007159B5">
              <w:rPr>
                <w:i/>
                <w:iCs/>
              </w:rPr>
              <w:t>Instructions</w:t>
            </w:r>
            <w:proofErr w:type="spellEnd"/>
            <w:r w:rsidRPr="007159B5">
              <w:rPr>
                <w:i/>
                <w:iCs/>
              </w:rPr>
              <w:t xml:space="preserve"> </w:t>
            </w:r>
            <w:proofErr w:type="spellStart"/>
            <w:r w:rsidRPr="007159B5">
              <w:rPr>
                <w:i/>
                <w:iCs/>
              </w:rPr>
              <w:t>for</w:t>
            </w:r>
            <w:proofErr w:type="spellEnd"/>
            <w:r w:rsidRPr="007159B5">
              <w:rPr>
                <w:i/>
                <w:iCs/>
              </w:rPr>
              <w:t xml:space="preserve"> ECB </w:t>
            </w:r>
            <w:proofErr w:type="spellStart"/>
            <w:r w:rsidRPr="007159B5">
              <w:rPr>
                <w:i/>
                <w:iCs/>
              </w:rPr>
              <w:t>add-ons</w:t>
            </w:r>
            <w:proofErr w:type="spellEnd"/>
            <w:r w:rsidRPr="0064743E">
              <w:t>" vai Latvijas Bankas tīmekļvietnes sadaļā "</w:t>
            </w:r>
            <w:r w:rsidRPr="00852D8F">
              <w:t xml:space="preserve">Maksātspējas II pārskati statistikas vajadzībām (LB ECB </w:t>
            </w:r>
            <w:proofErr w:type="spellStart"/>
            <w:r w:rsidRPr="00852D8F">
              <w:t>reporting_SOLO</w:t>
            </w:r>
            <w:proofErr w:type="spellEnd"/>
            <w:r w:rsidRPr="00852D8F">
              <w:t>)</w:t>
            </w:r>
            <w:r w:rsidRPr="0064743E">
              <w:t xml:space="preserve">" </w:t>
            </w:r>
            <w:r w:rsidR="003B58DB">
              <w:t>sniegtās</w:t>
            </w:r>
            <w:r w:rsidR="003B58DB" w:rsidRPr="0064743E">
              <w:t xml:space="preserve"> </w:t>
            </w:r>
            <w:r w:rsidRPr="0064743E">
              <w:t>instrukcijas.</w:t>
            </w:r>
            <w:r>
              <w:t xml:space="preserve"> Noteikumu projekta izstrādes brīdī attiecīgā </w:t>
            </w:r>
            <w:r w:rsidRPr="0064743E">
              <w:t>Eiropas Centrālās bankas tīmekļvietnes sadaļ</w:t>
            </w:r>
            <w:r>
              <w:t>a</w:t>
            </w:r>
            <w:r w:rsidRPr="0064743E">
              <w:t xml:space="preserve"> "</w:t>
            </w:r>
            <w:proofErr w:type="spellStart"/>
            <w:r w:rsidRPr="007159B5">
              <w:rPr>
                <w:i/>
                <w:iCs/>
              </w:rPr>
              <w:t>Instructions</w:t>
            </w:r>
            <w:proofErr w:type="spellEnd"/>
            <w:r w:rsidRPr="007159B5">
              <w:rPr>
                <w:i/>
                <w:iCs/>
              </w:rPr>
              <w:t xml:space="preserve"> </w:t>
            </w:r>
            <w:proofErr w:type="spellStart"/>
            <w:r w:rsidRPr="007159B5">
              <w:rPr>
                <w:i/>
                <w:iCs/>
              </w:rPr>
              <w:t>for</w:t>
            </w:r>
            <w:proofErr w:type="spellEnd"/>
            <w:r w:rsidRPr="007159B5">
              <w:rPr>
                <w:i/>
                <w:iCs/>
              </w:rPr>
              <w:t xml:space="preserve"> ECB </w:t>
            </w:r>
            <w:proofErr w:type="spellStart"/>
            <w:r w:rsidRPr="007159B5">
              <w:rPr>
                <w:i/>
                <w:iCs/>
              </w:rPr>
              <w:t>add-ons</w:t>
            </w:r>
            <w:proofErr w:type="spellEnd"/>
            <w:r w:rsidRPr="0064743E">
              <w:t>"</w:t>
            </w:r>
            <w:r>
              <w:t xml:space="preserve"> ir atrodama </w:t>
            </w:r>
            <w:r w:rsidR="00F16CFF">
              <w:t>adresē</w:t>
            </w:r>
            <w:r>
              <w:t xml:space="preserve"> </w:t>
            </w:r>
            <w:hyperlink r:id="rId11" w:history="1">
              <w:r w:rsidRPr="00262981">
                <w:rPr>
                  <w:rStyle w:val="Hyperlink"/>
                </w:rPr>
                <w:t>https://www.ecb.europa.eu/stats/financial_corporations/insurance_corporations/html/data_reporting.en.html</w:t>
              </w:r>
            </w:hyperlink>
            <w:r>
              <w:t xml:space="preserve">, savukārt </w:t>
            </w:r>
            <w:r w:rsidRPr="0064743E">
              <w:t>Latvijas Bankas tīmekļvietnes sadaļ</w:t>
            </w:r>
            <w:r>
              <w:t>a</w:t>
            </w:r>
            <w:r w:rsidRPr="0064743E">
              <w:t xml:space="preserve"> "</w:t>
            </w:r>
            <w:r w:rsidRPr="00852D8F">
              <w:t xml:space="preserve">Maksātspējas II pārskati statistikas vajadzībām (LB ECB </w:t>
            </w:r>
            <w:proofErr w:type="spellStart"/>
            <w:r w:rsidRPr="00852D8F">
              <w:t>reporting_SOLO</w:t>
            </w:r>
            <w:proofErr w:type="spellEnd"/>
            <w:r w:rsidRPr="00852D8F">
              <w:t>)</w:t>
            </w:r>
            <w:r w:rsidRPr="0064743E">
              <w:t>"</w:t>
            </w:r>
            <w:r>
              <w:t xml:space="preserve"> ir atrodama </w:t>
            </w:r>
            <w:r w:rsidR="00F16CFF">
              <w:t xml:space="preserve">adresē </w:t>
            </w:r>
            <w:hyperlink r:id="rId12" w:anchor="maksatspejas-ii-parskati-statistikas-vajadzibam-lb-ecb-reporting-solo" w:history="1">
              <w:r w:rsidRPr="00261E16">
                <w:rPr>
                  <w:rStyle w:val="Hyperlink"/>
                </w:rPr>
                <w:t>https://www.bank.lv/darbibas-jomas/uzraudziba/apdrosinasanas-tirgus-uzraudziba/apdrosinasanas-sabiedribas-un-filiales/statistikas-datu-sniegsana-apdrosinasanas-sabiedribas#maksatspejas-ii-parskati-statistikas-vajadzibam-lb-ecb-reporting-solo</w:t>
              </w:r>
            </w:hyperlink>
            <w:r>
              <w:t xml:space="preserve">. </w:t>
            </w:r>
          </w:p>
          <w:p w14:paraId="7610C96B" w14:textId="24B7E30E" w:rsidR="00262981" w:rsidRDefault="00262981" w:rsidP="00B917A7">
            <w:pPr>
              <w:pStyle w:val="NApunkts1"/>
              <w:numPr>
                <w:ilvl w:val="0"/>
                <w:numId w:val="0"/>
              </w:numPr>
              <w:spacing w:before="0" w:after="120"/>
            </w:pPr>
            <w:r>
              <w:lastRenderedPageBreak/>
              <w:t>Noteikumu projekts arī no</w:t>
            </w:r>
            <w:r w:rsidR="00F16CFF">
              <w:t>saka</w:t>
            </w:r>
            <w:r>
              <w:t>, ka, s</w:t>
            </w:r>
            <w:r w:rsidRPr="0064743E">
              <w:t>agatavojot datus kvantitatīvo pārskatu veidnēs, apdrošināšanas sabiedrība vai pārapdrošināšanas sabiedrība ievēro Eiropas Apdrošināšanas un aroda pensiju iestādes publicēto datu punkta modeli</w:t>
            </w:r>
            <w:r>
              <w:t xml:space="preserve">, kurš noteikumu projekta izstrādes brīdī ir atrodams </w:t>
            </w:r>
            <w:r w:rsidR="00F16CFF">
              <w:t xml:space="preserve">adresē </w:t>
            </w:r>
            <w:hyperlink r:id="rId13" w:history="1">
              <w:r w:rsidRPr="00261E16">
                <w:rPr>
                  <w:rStyle w:val="Hyperlink"/>
                </w:rPr>
                <w:t>https://www.eiopa.europa.eu/tools-and-data/supervisory-reporting-dpm-and-xbrl_en</w:t>
              </w:r>
            </w:hyperlink>
            <w:r w:rsidRPr="0064743E">
              <w:t>.</w:t>
            </w:r>
          </w:p>
          <w:p w14:paraId="07554769" w14:textId="19BC4F35" w:rsidR="00262981" w:rsidRDefault="00262981" w:rsidP="00B917A7">
            <w:pPr>
              <w:pStyle w:val="NApunkts1"/>
              <w:numPr>
                <w:ilvl w:val="0"/>
                <w:numId w:val="0"/>
              </w:numPr>
              <w:spacing w:before="0" w:after="120"/>
            </w:pPr>
            <w:r>
              <w:t>Tāpat noteikumu projekts paredz pienākumu a</w:t>
            </w:r>
            <w:r w:rsidRPr="0064743E">
              <w:t>pdrošināšanas sabiedrība</w:t>
            </w:r>
            <w:r w:rsidR="003659BD">
              <w:t>i</w:t>
            </w:r>
            <w:r w:rsidRPr="0064743E">
              <w:t xml:space="preserve"> vai pārapdrošināšanas sabiedrība</w:t>
            </w:r>
            <w:r>
              <w:t>i</w:t>
            </w:r>
            <w:r w:rsidRPr="0064743E">
              <w:t xml:space="preserve"> nodrošin</w:t>
            </w:r>
            <w:r>
              <w:t>āt</w:t>
            </w:r>
            <w:r w:rsidRPr="0064743E">
              <w:t>, lai kvantitatīv</w:t>
            </w:r>
            <w:r>
              <w:t>o</w:t>
            </w:r>
            <w:r w:rsidRPr="0064743E">
              <w:t xml:space="preserve"> pārskat</w:t>
            </w:r>
            <w:r>
              <w:t>u</w:t>
            </w:r>
            <w:r w:rsidRPr="0064743E">
              <w:t xml:space="preserve"> veidnēs iesniegtie dati atbilst Eiropas Apdrošināšanas un aroda pensiju iestādes publicētajiem validācijas noteikumiem</w:t>
            </w:r>
            <w:r>
              <w:t xml:space="preserve">, kuri noteikumu projekta izstrādes brīdī ir atrodami </w:t>
            </w:r>
            <w:r w:rsidR="00F16CFF">
              <w:t>adresē</w:t>
            </w:r>
            <w:r w:rsidR="00F16CFF" w:rsidRPr="0064743E">
              <w:t xml:space="preserve"> </w:t>
            </w:r>
            <w:hyperlink r:id="rId14" w:history="1">
              <w:r w:rsidRPr="00261E16">
                <w:rPr>
                  <w:rStyle w:val="Hyperlink"/>
                </w:rPr>
                <w:t>https://www.eiopa.europa.eu/tools-and-data/supervisory-reporting-dpm-and-xbrl_en</w:t>
              </w:r>
            </w:hyperlink>
            <w:r>
              <w:t>.</w:t>
            </w:r>
          </w:p>
          <w:p w14:paraId="54DBB8A2" w14:textId="6837563B" w:rsidR="00262981" w:rsidRPr="00993A38" w:rsidRDefault="00751877" w:rsidP="00B917A7">
            <w:pPr>
              <w:pStyle w:val="NApunkts1"/>
              <w:numPr>
                <w:ilvl w:val="0"/>
                <w:numId w:val="0"/>
              </w:numPr>
              <w:spacing w:before="0" w:after="120"/>
            </w:pPr>
            <w:r>
              <w:t xml:space="preserve">Noteikumu projektā paredzētas izmaiņas </w:t>
            </w:r>
            <w:r w:rsidRPr="00993A38">
              <w:t xml:space="preserve">attiecībā uz informācijas iesniegšanas kārtību. </w:t>
            </w:r>
            <w:r w:rsidR="005D0D05" w:rsidRPr="00993A38">
              <w:t xml:space="preserve">Informācija Latvijas Bankai tiek iesniegta elektroniskā veidā saskaņā ar Latvijas Bankas noteikumiem, kuri regulē elektronisko informācijas apmaiņu ar Latvijas Banku. </w:t>
            </w:r>
            <w:r w:rsidRPr="00993A38">
              <w:t>Saskaņā ar Noteikumiem Nr.</w:t>
            </w:r>
            <w:r w:rsidR="00B917A7">
              <w:t> </w:t>
            </w:r>
            <w:r w:rsidRPr="00993A38">
              <w:t xml:space="preserve">228 attiecīgā veida informācija Latvijas Bankai ir jāiesniedz, izmantojot datu ziņošanas sistēmu. </w:t>
            </w:r>
            <w:r w:rsidR="00E94A3A" w:rsidRPr="00993A38">
              <w:t xml:space="preserve">Noteikumu projekts paredz, ka </w:t>
            </w:r>
            <w:r w:rsidR="005D0D05" w:rsidRPr="00993A38">
              <w:t>no 2025.</w:t>
            </w:r>
            <w:r w:rsidR="00B917A7">
              <w:t> </w:t>
            </w:r>
            <w:r w:rsidR="005D0D05" w:rsidRPr="00993A38">
              <w:t xml:space="preserve">gada </w:t>
            </w:r>
            <w:r w:rsidR="00E94A3A" w:rsidRPr="00993A38">
              <w:t xml:space="preserve">pārskati </w:t>
            </w:r>
            <w:r w:rsidR="005D0D05" w:rsidRPr="00993A38">
              <w:t>būs jā</w:t>
            </w:r>
            <w:r w:rsidR="00E94A3A" w:rsidRPr="00993A38">
              <w:t>iesnie</w:t>
            </w:r>
            <w:r w:rsidR="005D0D05" w:rsidRPr="00993A38">
              <w:t>dz</w:t>
            </w:r>
            <w:r w:rsidR="00E94A3A" w:rsidRPr="00993A38">
              <w:t xml:space="preserve"> Latvijas Bankai, izmantojot paaugstinātās drošības sistēmu</w:t>
            </w:r>
            <w:r w:rsidR="000674E2" w:rsidRPr="00993A38">
              <w:t>, izņemot p</w:t>
            </w:r>
            <w:r w:rsidR="00E94A3A" w:rsidRPr="00993A38">
              <w:t>ārskatu par 2024.</w:t>
            </w:r>
            <w:r w:rsidR="00B917A7">
              <w:t> </w:t>
            </w:r>
            <w:r w:rsidR="00E94A3A" w:rsidRPr="00993A38">
              <w:t>gada 4.</w:t>
            </w:r>
            <w:r w:rsidR="00B917A7">
              <w:t> </w:t>
            </w:r>
            <w:r w:rsidR="00E94A3A" w:rsidRPr="00993A38">
              <w:t>ceturksni un</w:t>
            </w:r>
            <w:r w:rsidR="00684C6F" w:rsidRPr="00993A38">
              <w:t xml:space="preserve"> </w:t>
            </w:r>
            <w:r w:rsidR="00E94A3A" w:rsidRPr="00993A38">
              <w:t>pārskat</w:t>
            </w:r>
            <w:r w:rsidR="005D0D05" w:rsidRPr="00993A38">
              <w:t>u</w:t>
            </w:r>
            <w:r w:rsidR="00E94A3A" w:rsidRPr="00993A38">
              <w:t xml:space="preserve"> par </w:t>
            </w:r>
            <w:r w:rsidR="005D0D05" w:rsidRPr="00993A38">
              <w:t xml:space="preserve">stāvokli </w:t>
            </w:r>
            <w:r w:rsidR="00E94A3A" w:rsidRPr="00993A38">
              <w:t>2024.</w:t>
            </w:r>
            <w:r w:rsidR="00B917A7">
              <w:t> </w:t>
            </w:r>
            <w:r w:rsidR="00E94A3A" w:rsidRPr="00993A38">
              <w:t>gada 31.</w:t>
            </w:r>
            <w:r w:rsidR="00B917A7">
              <w:t> </w:t>
            </w:r>
            <w:r w:rsidR="00E94A3A" w:rsidRPr="00993A38">
              <w:t>decembr</w:t>
            </w:r>
            <w:r w:rsidR="005D0D05" w:rsidRPr="00993A38">
              <w:t>ī</w:t>
            </w:r>
            <w:r w:rsidR="000674E2" w:rsidRPr="00993A38">
              <w:t>,</w:t>
            </w:r>
            <w:r w:rsidR="00E94A3A" w:rsidRPr="00993A38">
              <w:t xml:space="preserve"> </w:t>
            </w:r>
            <w:r w:rsidR="000674E2" w:rsidRPr="00993A38">
              <w:t xml:space="preserve">kas </w:t>
            </w:r>
            <w:r w:rsidR="007620BC" w:rsidRPr="00993A38">
              <w:t>būs jā</w:t>
            </w:r>
            <w:r w:rsidR="00E94A3A" w:rsidRPr="00993A38">
              <w:t xml:space="preserve">iesniedz Latvijas Bankai, izmantojot </w:t>
            </w:r>
            <w:r w:rsidR="007620BC" w:rsidRPr="00993A38">
              <w:t xml:space="preserve">līdz šim lietoto </w:t>
            </w:r>
            <w:r w:rsidR="00E94A3A" w:rsidRPr="00993A38">
              <w:t xml:space="preserve">datu ziņošanas sistēmu. </w:t>
            </w:r>
          </w:p>
          <w:p w14:paraId="19F8158E" w14:textId="2DF3F532" w:rsidR="000674E2" w:rsidRDefault="000674E2" w:rsidP="00B917A7">
            <w:pPr>
              <w:pStyle w:val="NApunkts1"/>
              <w:numPr>
                <w:ilvl w:val="0"/>
                <w:numId w:val="0"/>
              </w:numPr>
              <w:spacing w:before="0" w:after="120"/>
            </w:pPr>
            <w:r w:rsidRPr="00993A38">
              <w:t>Noteikumu projekta 6.3.</w:t>
            </w:r>
            <w:r w:rsidR="00B917A7">
              <w:t> </w:t>
            </w:r>
            <w:r w:rsidRPr="00993A38">
              <w:t>apakšpunktā, 8. un 9.</w:t>
            </w:r>
            <w:r w:rsidR="00B917A7">
              <w:t> </w:t>
            </w:r>
            <w:r w:rsidRPr="00993A38">
              <w:t>punktā, 11.2.</w:t>
            </w:r>
            <w:r w:rsidR="00B917A7">
              <w:t> </w:t>
            </w:r>
            <w:r w:rsidRPr="00993A38">
              <w:t>apakšpunktā un 12.</w:t>
            </w:r>
            <w:r w:rsidR="00B917A7">
              <w:t> </w:t>
            </w:r>
            <w:r w:rsidRPr="00993A38">
              <w:t>punktā minēto pārskatu par 2024. gada 4. ceturksni un noteikumu</w:t>
            </w:r>
            <w:r w:rsidR="00C06FB6">
              <w:t xml:space="preserve"> projekta</w:t>
            </w:r>
            <w:r w:rsidRPr="00993A38">
              <w:t xml:space="preserve"> 5.4.</w:t>
            </w:r>
            <w:r w:rsidR="00B917A7">
              <w:t> </w:t>
            </w:r>
            <w:r w:rsidRPr="00993A38">
              <w:t>apakšpunktā, 7.</w:t>
            </w:r>
            <w:r w:rsidR="00B917A7">
              <w:t> </w:t>
            </w:r>
            <w:r w:rsidRPr="00993A38">
              <w:t>punktā un 10.5.</w:t>
            </w:r>
            <w:r w:rsidR="00B917A7">
              <w:t> </w:t>
            </w:r>
            <w:r w:rsidRPr="00993A38">
              <w:t>apakšpunktā minēto pārskatu par stāvokli 2024. gada 31. decembrī sagatavošanai piemēro Noteikumus Nr. 228.</w:t>
            </w:r>
          </w:p>
          <w:p w14:paraId="0D704356" w14:textId="5D23F352" w:rsidR="0009394F" w:rsidRPr="00894D21" w:rsidRDefault="00DB3529"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projekts </w:t>
            </w:r>
            <w:r w:rsidRPr="00F16CFF">
              <w:rPr>
                <w:rFonts w:ascii="Times New Roman" w:eastAsia="Times New Roman" w:hAnsi="Times New Roman" w:cs="Times New Roman"/>
                <w:sz w:val="24"/>
                <w:szCs w:val="24"/>
                <w:lang w:eastAsia="lv-LV"/>
              </w:rPr>
              <w:t xml:space="preserve">satur </w:t>
            </w:r>
            <w:r w:rsidR="007620BC" w:rsidRPr="00F16CFF">
              <w:rPr>
                <w:rFonts w:ascii="Times New Roman" w:eastAsia="Times New Roman" w:hAnsi="Times New Roman" w:cs="Times New Roman"/>
                <w:sz w:val="24"/>
                <w:szCs w:val="24"/>
                <w:lang w:eastAsia="lv-LV"/>
              </w:rPr>
              <w:t>līdz</w:t>
            </w:r>
            <w:r w:rsidR="00F16CFF" w:rsidRPr="008154C6">
              <w:rPr>
                <w:rFonts w:ascii="Times New Roman" w:eastAsia="Times New Roman" w:hAnsi="Times New Roman" w:cs="Times New Roman"/>
                <w:sz w:val="24"/>
                <w:szCs w:val="24"/>
                <w:lang w:eastAsia="lv-LV"/>
              </w:rPr>
              <w:t>īg</w:t>
            </w:r>
            <w:r w:rsidR="007620BC" w:rsidRPr="00F16CFF">
              <w:rPr>
                <w:rFonts w:ascii="Times New Roman" w:eastAsia="Times New Roman" w:hAnsi="Times New Roman" w:cs="Times New Roman"/>
                <w:sz w:val="24"/>
                <w:szCs w:val="24"/>
                <w:lang w:eastAsia="lv-LV"/>
              </w:rPr>
              <w:t xml:space="preserve">as </w:t>
            </w:r>
            <w:r w:rsidRPr="00F16CFF">
              <w:rPr>
                <w:rFonts w:ascii="Times New Roman" w:eastAsia="Times New Roman" w:hAnsi="Times New Roman" w:cs="Times New Roman"/>
                <w:sz w:val="24"/>
                <w:szCs w:val="24"/>
                <w:lang w:eastAsia="lv-LV"/>
              </w:rPr>
              <w:t>tiesību</w:t>
            </w:r>
            <w:r w:rsidRPr="00894D21">
              <w:rPr>
                <w:rFonts w:ascii="Times New Roman" w:eastAsia="Times New Roman" w:hAnsi="Times New Roman" w:cs="Times New Roman"/>
                <w:sz w:val="24"/>
                <w:szCs w:val="24"/>
                <w:lang w:eastAsia="lv-LV"/>
              </w:rPr>
              <w:t xml:space="preserve"> normas kā </w:t>
            </w:r>
            <w:r w:rsidRPr="00751877">
              <w:rPr>
                <w:rFonts w:ascii="Times New Roman" w:eastAsia="Times New Roman" w:hAnsi="Times New Roman" w:cs="Times New Roman"/>
                <w:color w:val="000000"/>
                <w:sz w:val="24"/>
                <w:szCs w:val="24"/>
                <w:lang w:eastAsia="lv-LV"/>
              </w:rPr>
              <w:t>Noteikumi Nr.</w:t>
            </w:r>
            <w:r w:rsidR="00B917A7">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228</w:t>
            </w:r>
            <w:r w:rsidRPr="00894D21">
              <w:rPr>
                <w:rFonts w:ascii="Times New Roman" w:eastAsia="Times New Roman" w:hAnsi="Times New Roman" w:cs="Times New Roman"/>
                <w:sz w:val="24"/>
                <w:szCs w:val="24"/>
                <w:lang w:eastAsia="lv-LV"/>
              </w:rPr>
              <w:t>, kuri zaudē</w:t>
            </w:r>
            <w:r w:rsidR="00F16CFF">
              <w:rPr>
                <w:rFonts w:ascii="Times New Roman" w:eastAsia="Times New Roman" w:hAnsi="Times New Roman" w:cs="Times New Roman"/>
                <w:sz w:val="24"/>
                <w:szCs w:val="24"/>
                <w:lang w:eastAsia="lv-LV"/>
              </w:rPr>
              <w:t>s</w:t>
            </w:r>
            <w:r w:rsidRPr="00894D21">
              <w:rPr>
                <w:rFonts w:ascii="Times New Roman" w:eastAsia="Times New Roman" w:hAnsi="Times New Roman" w:cs="Times New Roman"/>
                <w:sz w:val="24"/>
                <w:szCs w:val="24"/>
                <w:lang w:eastAsia="lv-LV"/>
              </w:rPr>
              <w:t xml:space="preserve"> spēku ar noteikumu projekta spēkā stāšanās brīdi</w:t>
            </w:r>
            <w:r>
              <w:rPr>
                <w:rFonts w:ascii="Times New Roman" w:eastAsia="Times New Roman" w:hAnsi="Times New Roman" w:cs="Times New Roman"/>
                <w:sz w:val="24"/>
                <w:szCs w:val="24"/>
                <w:lang w:eastAsia="lv-LV"/>
              </w:rPr>
              <w:t>.</w:t>
            </w:r>
            <w:r w:rsidRPr="00DB352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No</w:t>
            </w:r>
            <w:r w:rsidRPr="00DB3529">
              <w:rPr>
                <w:rFonts w:ascii="Times New Roman" w:eastAsia="Times New Roman" w:hAnsi="Times New Roman" w:cs="Times New Roman"/>
                <w:sz w:val="24"/>
                <w:szCs w:val="24"/>
                <w:lang w:eastAsia="lv-LV"/>
              </w:rPr>
              <w:t xml:space="preserve">teikumu projekta normas, kuras atšķiras no pašlaik spēkā esošo </w:t>
            </w:r>
            <w:r w:rsidRPr="00751877">
              <w:rPr>
                <w:rFonts w:ascii="Times New Roman" w:eastAsia="Times New Roman" w:hAnsi="Times New Roman" w:cs="Times New Roman"/>
                <w:color w:val="000000"/>
                <w:sz w:val="24"/>
                <w:szCs w:val="24"/>
                <w:lang w:eastAsia="lv-LV"/>
              </w:rPr>
              <w:t>Noteikum</w:t>
            </w:r>
            <w:r w:rsidR="005D0D05">
              <w:rPr>
                <w:rFonts w:ascii="Times New Roman" w:eastAsia="Times New Roman" w:hAnsi="Times New Roman" w:cs="Times New Roman"/>
                <w:color w:val="000000"/>
                <w:sz w:val="24"/>
                <w:szCs w:val="24"/>
                <w:lang w:eastAsia="lv-LV"/>
              </w:rPr>
              <w:t>u</w:t>
            </w:r>
            <w:r w:rsidRPr="00751877">
              <w:rPr>
                <w:rFonts w:ascii="Times New Roman" w:eastAsia="Times New Roman" w:hAnsi="Times New Roman" w:cs="Times New Roman"/>
                <w:color w:val="000000"/>
                <w:sz w:val="24"/>
                <w:szCs w:val="24"/>
                <w:lang w:eastAsia="lv-LV"/>
              </w:rPr>
              <w:t xml:space="preserve"> Nr.</w:t>
            </w:r>
            <w:r w:rsidR="00F16CFF">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 xml:space="preserve">228 </w:t>
            </w:r>
            <w:r w:rsidRPr="00DB3529">
              <w:rPr>
                <w:rFonts w:ascii="Times New Roman" w:eastAsia="Times New Roman" w:hAnsi="Times New Roman" w:cs="Times New Roman"/>
                <w:sz w:val="24"/>
                <w:szCs w:val="24"/>
                <w:lang w:eastAsia="lv-LV"/>
              </w:rPr>
              <w:t>normām, paredz tehniska rakstura precizējumus</w:t>
            </w:r>
            <w:r w:rsidR="00D32B74">
              <w:rPr>
                <w:rFonts w:ascii="Times New Roman" w:eastAsia="Times New Roman" w:hAnsi="Times New Roman" w:cs="Times New Roman"/>
                <w:sz w:val="24"/>
                <w:szCs w:val="24"/>
                <w:lang w:eastAsia="lv-LV"/>
              </w:rPr>
              <w:t xml:space="preserve"> saistībā ar </w:t>
            </w:r>
            <w:r w:rsidR="00D32B74" w:rsidRPr="005274E9">
              <w:rPr>
                <w:rFonts w:ascii="Times New Roman" w:eastAsia="Times New Roman" w:hAnsi="Times New Roman" w:cs="Times New Roman"/>
                <w:color w:val="000000"/>
                <w:sz w:val="24"/>
                <w:szCs w:val="24"/>
                <w:lang w:eastAsia="lv-LV"/>
              </w:rPr>
              <w:t>ES regula</w:t>
            </w:r>
            <w:r w:rsidR="007620BC">
              <w:rPr>
                <w:rFonts w:ascii="Times New Roman" w:eastAsia="Times New Roman" w:hAnsi="Times New Roman" w:cs="Times New Roman"/>
                <w:color w:val="000000"/>
                <w:sz w:val="24"/>
                <w:szCs w:val="24"/>
                <w:lang w:eastAsia="lv-LV"/>
              </w:rPr>
              <w:t>s</w:t>
            </w:r>
            <w:r w:rsidR="00D32B74" w:rsidRPr="005274E9">
              <w:rPr>
                <w:rFonts w:ascii="Times New Roman" w:eastAsia="Times New Roman" w:hAnsi="Times New Roman" w:cs="Times New Roman"/>
                <w:color w:val="000000"/>
                <w:sz w:val="24"/>
                <w:szCs w:val="24"/>
                <w:lang w:eastAsia="lv-LV"/>
              </w:rPr>
              <w:t xml:space="preserve"> Nr.</w:t>
            </w:r>
            <w:r w:rsidR="00B917A7">
              <w:rPr>
                <w:rFonts w:ascii="Times New Roman" w:eastAsia="Times New Roman" w:hAnsi="Times New Roman" w:cs="Times New Roman"/>
                <w:color w:val="000000"/>
                <w:sz w:val="24"/>
                <w:szCs w:val="24"/>
                <w:lang w:eastAsia="lv-LV"/>
              </w:rPr>
              <w:t> </w:t>
            </w:r>
            <w:r w:rsidR="00D32B74" w:rsidRPr="005274E9">
              <w:rPr>
                <w:rFonts w:ascii="Times New Roman" w:eastAsia="Times New Roman" w:hAnsi="Times New Roman" w:cs="Times New Roman"/>
                <w:color w:val="000000"/>
                <w:sz w:val="24"/>
                <w:szCs w:val="24"/>
                <w:lang w:eastAsia="lv-LV"/>
              </w:rPr>
              <w:t>2023/894</w:t>
            </w:r>
            <w:r w:rsidR="00D32B74">
              <w:rPr>
                <w:rFonts w:ascii="Times New Roman" w:eastAsia="Times New Roman" w:hAnsi="Times New Roman" w:cs="Times New Roman"/>
                <w:color w:val="000000"/>
                <w:sz w:val="24"/>
                <w:szCs w:val="24"/>
                <w:lang w:eastAsia="lv-LV"/>
              </w:rPr>
              <w:t xml:space="preserve"> spēkā stāšanos un tajā noteiktajām izmaiņām darbības pārskatos, kā arī saistībā ar </w:t>
            </w:r>
            <w:r w:rsidRPr="00DB3529">
              <w:rPr>
                <w:rFonts w:ascii="Times New Roman" w:eastAsia="Times New Roman" w:hAnsi="Times New Roman" w:cs="Times New Roman"/>
                <w:sz w:val="24"/>
                <w:szCs w:val="24"/>
                <w:lang w:eastAsia="lv-LV"/>
              </w:rPr>
              <w:t>numerācijas maiņu un atsauču precizēšanu</w:t>
            </w:r>
            <w:r>
              <w:rPr>
                <w:rFonts w:ascii="Times New Roman" w:eastAsia="Times New Roman" w:hAnsi="Times New Roman" w:cs="Times New Roman"/>
                <w:sz w:val="24"/>
                <w:szCs w:val="24"/>
                <w:lang w:eastAsia="lv-LV"/>
              </w:rPr>
              <w:t>.</w:t>
            </w:r>
            <w:r w:rsidR="006C3828" w:rsidRPr="00894D21">
              <w:rPr>
                <w:rFonts w:ascii="Times New Roman" w:eastAsia="Times New Roman" w:hAnsi="Times New Roman" w:cs="Times New Roman"/>
                <w:sz w:val="24"/>
                <w:szCs w:val="24"/>
                <w:lang w:eastAsia="lv-LV"/>
              </w:rPr>
              <w:t xml:space="preserve"> </w:t>
            </w:r>
            <w:r w:rsidR="00377480">
              <w:rPr>
                <w:rFonts w:ascii="Times New Roman" w:eastAsia="Times New Roman" w:hAnsi="Times New Roman" w:cs="Times New Roman"/>
                <w:sz w:val="24"/>
                <w:szCs w:val="24"/>
                <w:lang w:eastAsia="lv-LV"/>
              </w:rPr>
              <w:t>L</w:t>
            </w:r>
            <w:r w:rsidR="00160F67" w:rsidRPr="00CD27C9">
              <w:rPr>
                <w:rFonts w:ascii="Times New Roman" w:eastAsia="Times New Roman" w:hAnsi="Times New Roman" w:cs="Times New Roman"/>
                <w:sz w:val="24"/>
                <w:szCs w:val="24"/>
                <w:lang w:eastAsia="lv-LV"/>
              </w:rPr>
              <w:t>ai stiprinātu produktu pārvaldības uzraudzību, "Pārskat</w:t>
            </w:r>
            <w:r w:rsidR="00377480" w:rsidRPr="00CD27C9">
              <w:rPr>
                <w:rFonts w:ascii="Times New Roman" w:eastAsia="Times New Roman" w:hAnsi="Times New Roman" w:cs="Times New Roman"/>
                <w:sz w:val="24"/>
                <w:szCs w:val="24"/>
                <w:lang w:eastAsia="lv-LV"/>
              </w:rPr>
              <w:t>ā</w:t>
            </w:r>
            <w:r w:rsidR="00160F67" w:rsidRPr="00CD27C9">
              <w:rPr>
                <w:rFonts w:ascii="Times New Roman" w:eastAsia="Times New Roman" w:hAnsi="Times New Roman" w:cs="Times New Roman"/>
                <w:sz w:val="24"/>
                <w:szCs w:val="24"/>
                <w:lang w:eastAsia="lv-LV"/>
              </w:rPr>
              <w:t xml:space="preserve"> par tiešo apdrošināšanu" (</w:t>
            </w:r>
            <w:r w:rsidR="0070233B">
              <w:rPr>
                <w:rFonts w:ascii="Times New Roman" w:eastAsia="Times New Roman" w:hAnsi="Times New Roman" w:cs="Times New Roman"/>
                <w:sz w:val="24"/>
                <w:szCs w:val="24"/>
                <w:lang w:eastAsia="lv-LV"/>
              </w:rPr>
              <w:t xml:space="preserve">pārskatu </w:t>
            </w:r>
            <w:r w:rsidR="00160F67" w:rsidRPr="002A59C8">
              <w:rPr>
                <w:rFonts w:ascii="Times New Roman" w:eastAsia="Times New Roman" w:hAnsi="Times New Roman" w:cs="Times New Roman"/>
                <w:sz w:val="24"/>
                <w:szCs w:val="24"/>
                <w:lang w:eastAsia="lv-LV"/>
              </w:rPr>
              <w:t>veidne L.01.)</w:t>
            </w:r>
            <w:r w:rsidR="00377480" w:rsidRPr="00CD27C9">
              <w:rPr>
                <w:rFonts w:ascii="Times New Roman" w:eastAsia="Times New Roman" w:hAnsi="Times New Roman" w:cs="Times New Roman"/>
                <w:sz w:val="24"/>
                <w:szCs w:val="24"/>
                <w:lang w:eastAsia="lv-LV"/>
              </w:rPr>
              <w:t xml:space="preserve"> </w:t>
            </w:r>
            <w:r w:rsidR="00BD03CC">
              <w:rPr>
                <w:rFonts w:ascii="Times New Roman" w:eastAsia="Times New Roman" w:hAnsi="Times New Roman" w:cs="Times New Roman"/>
                <w:sz w:val="24"/>
                <w:szCs w:val="24"/>
                <w:lang w:eastAsia="lv-LV"/>
              </w:rPr>
              <w:t>informācija</w:t>
            </w:r>
            <w:r w:rsidR="00377480" w:rsidRPr="00CD27C9">
              <w:rPr>
                <w:rFonts w:ascii="Times New Roman" w:eastAsia="Times New Roman" w:hAnsi="Times New Roman" w:cs="Times New Roman"/>
                <w:sz w:val="24"/>
                <w:szCs w:val="24"/>
                <w:lang w:eastAsia="lv-LV"/>
              </w:rPr>
              <w:t xml:space="preserve"> par apdrošināšanas pakalpojumiem, kas sniegti, ievērojot pakalpojumu sniegšanas brīvības principu, </w:t>
            </w:r>
            <w:r w:rsidR="00160F67" w:rsidRPr="00CD27C9">
              <w:rPr>
                <w:rFonts w:ascii="Times New Roman" w:eastAsia="Times New Roman" w:hAnsi="Times New Roman" w:cs="Times New Roman"/>
                <w:sz w:val="24"/>
                <w:szCs w:val="24"/>
                <w:lang w:eastAsia="lv-LV"/>
              </w:rPr>
              <w:t>papildināt</w:t>
            </w:r>
            <w:r w:rsidR="00BD03CC">
              <w:rPr>
                <w:rFonts w:ascii="Times New Roman" w:eastAsia="Times New Roman" w:hAnsi="Times New Roman" w:cs="Times New Roman"/>
                <w:sz w:val="24"/>
                <w:szCs w:val="24"/>
                <w:lang w:eastAsia="lv-LV"/>
              </w:rPr>
              <w:t>a</w:t>
            </w:r>
            <w:r w:rsidR="00160F67" w:rsidRPr="00CD27C9">
              <w:rPr>
                <w:rFonts w:ascii="Times New Roman" w:eastAsia="Times New Roman" w:hAnsi="Times New Roman" w:cs="Times New Roman"/>
                <w:sz w:val="24"/>
                <w:szCs w:val="24"/>
                <w:lang w:eastAsia="lv-LV"/>
              </w:rPr>
              <w:t xml:space="preserve"> ar </w:t>
            </w:r>
            <w:r w:rsidR="00377480" w:rsidRPr="00CD27C9">
              <w:rPr>
                <w:rFonts w:ascii="Times New Roman" w:eastAsia="Times New Roman" w:hAnsi="Times New Roman" w:cs="Times New Roman"/>
                <w:sz w:val="24"/>
                <w:szCs w:val="24"/>
                <w:lang w:eastAsia="lv-LV"/>
              </w:rPr>
              <w:t>izvērsumu pakalpojum</w:t>
            </w:r>
            <w:r w:rsidR="00F16CFF">
              <w:rPr>
                <w:rFonts w:ascii="Times New Roman" w:eastAsia="Times New Roman" w:hAnsi="Times New Roman" w:cs="Times New Roman"/>
                <w:sz w:val="24"/>
                <w:szCs w:val="24"/>
                <w:lang w:eastAsia="lv-LV"/>
              </w:rPr>
              <w:t>u</w:t>
            </w:r>
            <w:r w:rsidR="00377480" w:rsidRPr="00CD27C9">
              <w:rPr>
                <w:rFonts w:ascii="Times New Roman" w:eastAsia="Times New Roman" w:hAnsi="Times New Roman" w:cs="Times New Roman"/>
                <w:sz w:val="24"/>
                <w:szCs w:val="24"/>
                <w:lang w:eastAsia="lv-LV"/>
              </w:rPr>
              <w:t xml:space="preserve"> sniegšanas valst</w:t>
            </w:r>
            <w:r w:rsidR="00C06FB6">
              <w:rPr>
                <w:rFonts w:ascii="Times New Roman" w:eastAsia="Times New Roman" w:hAnsi="Times New Roman" w:cs="Times New Roman"/>
                <w:sz w:val="24"/>
                <w:szCs w:val="24"/>
                <w:lang w:eastAsia="lv-LV"/>
              </w:rPr>
              <w:t>u dalījumā</w:t>
            </w:r>
            <w:r w:rsidR="00377480">
              <w:rPr>
                <w:rFonts w:ascii="Times New Roman" w:eastAsia="Times New Roman" w:hAnsi="Times New Roman" w:cs="Times New Roman"/>
                <w:sz w:val="24"/>
                <w:szCs w:val="24"/>
                <w:lang w:eastAsia="lv-LV"/>
              </w:rPr>
              <w:t>.</w:t>
            </w:r>
          </w:p>
        </w:tc>
      </w:tr>
      <w:tr w:rsidR="006C3828" w:rsidRPr="00894D21" w14:paraId="1068B2B5" w14:textId="77777777" w:rsidTr="002B2146">
        <w:trPr>
          <w:trHeight w:val="567"/>
        </w:trPr>
        <w:tc>
          <w:tcPr>
            <w:tcW w:w="1014" w:type="pct"/>
            <w:shd w:val="clear" w:color="auto" w:fill="auto"/>
            <w:hideMark/>
          </w:tcPr>
          <w:p w14:paraId="2C814FF0" w14:textId="77777777" w:rsidR="006C3828" w:rsidRPr="00894D21" w:rsidRDefault="006C3828" w:rsidP="00B917A7">
            <w:pPr>
              <w:spacing w:after="12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B917A7">
            <w:pPr>
              <w:spacing w:after="12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12FD857D" w14:textId="7A469F2F"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303EFBE3"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w:t>
            </w:r>
            <w:proofErr w:type="spellStart"/>
            <w:r w:rsidRPr="00894D21">
              <w:rPr>
                <w:rFonts w:ascii="Times New Roman" w:eastAsia="Times New Roman" w:hAnsi="Times New Roman" w:cs="Times New Roman"/>
                <w:sz w:val="24"/>
                <w:szCs w:val="24"/>
                <w:lang w:eastAsia="lv-LV"/>
              </w:rPr>
              <w:t>pamattiesību</w:t>
            </w:r>
            <w:proofErr w:type="spellEnd"/>
            <w:r w:rsidRPr="00894D21">
              <w:rPr>
                <w:rFonts w:ascii="Times New Roman" w:eastAsia="Times New Roman" w:hAnsi="Times New Roman" w:cs="Times New Roman"/>
                <w:sz w:val="24"/>
                <w:szCs w:val="24"/>
                <w:lang w:eastAsia="lv-LV"/>
              </w:rPr>
              <w:t xml:space="preserve"> aizsardzību Latvijas Banka īsteno, nodrošinot finanšu tirgus </w:t>
            </w:r>
            <w:r w:rsidR="007620BC">
              <w:rPr>
                <w:rFonts w:ascii="Times New Roman" w:eastAsia="Times New Roman" w:hAnsi="Times New Roman" w:cs="Times New Roman"/>
                <w:sz w:val="24"/>
                <w:szCs w:val="24"/>
                <w:lang w:eastAsia="lv-LV"/>
              </w:rPr>
              <w:t xml:space="preserve">un tā dalībnieku darbības </w:t>
            </w:r>
            <w:r w:rsidRPr="00894D21">
              <w:rPr>
                <w:rFonts w:ascii="Times New Roman" w:eastAsia="Times New Roman" w:hAnsi="Times New Roman" w:cs="Times New Roman"/>
                <w:sz w:val="24"/>
                <w:szCs w:val="24"/>
                <w:lang w:eastAsia="lv-LV"/>
              </w:rPr>
              <w:t>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lastRenderedPageBreak/>
              <w:t xml:space="preserve">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w:t>
            </w:r>
            <w:proofErr w:type="spellStart"/>
            <w:r w:rsidRPr="00894D21">
              <w:rPr>
                <w:rFonts w:ascii="Times New Roman" w:eastAsia="Times New Roman" w:hAnsi="Times New Roman" w:cs="Times New Roman"/>
                <w:sz w:val="24"/>
                <w:szCs w:val="24"/>
                <w:lang w:eastAsia="lv-LV"/>
              </w:rPr>
              <w:t>pamattiesības</w:t>
            </w:r>
            <w:proofErr w:type="spellEnd"/>
            <w:r w:rsidRPr="00894D21">
              <w:rPr>
                <w:rFonts w:ascii="Times New Roman" w:eastAsia="Times New Roman" w:hAnsi="Times New Roman" w:cs="Times New Roman"/>
                <w:sz w:val="24"/>
                <w:szCs w:val="24"/>
                <w:lang w:eastAsia="lv-LV"/>
              </w:rPr>
              <w:t>. Respektīvi, indivīds ir tiesīgs paļauties uz finanšu sistēmas taisnīgu uzraudzību, pretējā gadījumā indivīdam zūd uzticība finanšu sistēmai un motivācija būt šīs sistēmas dalībniekam.</w:t>
            </w:r>
          </w:p>
          <w:p w14:paraId="320BF953" w14:textId="4CDDCCE0" w:rsidR="007D4BE3"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 prasības un veicot to ievērošanas pārbaudes, Latvijas Banka nodrošina tai Latvijas Bankas likumā noteikto 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 xml:space="preserve">veicināt </w:t>
            </w:r>
            <w:r w:rsidR="00D32B74">
              <w:rPr>
                <w:rFonts w:ascii="Times New Roman" w:eastAsia="Times New Roman" w:hAnsi="Times New Roman" w:cs="Times New Roman"/>
                <w:sz w:val="24"/>
                <w:szCs w:val="24"/>
                <w:lang w:eastAsia="lv-LV"/>
              </w:rPr>
              <w:t>apdrošināto personu</w:t>
            </w:r>
            <w:r w:rsidRPr="00894D21">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r w:rsidR="00056B91" w:rsidRPr="00894D21">
              <w:rPr>
                <w:rFonts w:ascii="Times New Roman" w:eastAsia="Times New Roman" w:hAnsi="Times New Roman" w:cs="Times New Roman"/>
                <w:sz w:val="24"/>
                <w:szCs w:val="24"/>
                <w:lang w:eastAsia="lv-LV"/>
              </w:rPr>
              <w:t xml:space="preserve">Līdz ar to </w:t>
            </w:r>
            <w:r w:rsidR="00A35C14" w:rsidRPr="00894D21">
              <w:rPr>
                <w:rFonts w:ascii="Times New Roman" w:eastAsia="Times New Roman" w:hAnsi="Times New Roman" w:cs="Times New Roman"/>
                <w:sz w:val="24"/>
                <w:szCs w:val="24"/>
                <w:lang w:eastAsia="lv-LV"/>
              </w:rPr>
              <w:t>n</w:t>
            </w:r>
            <w:r w:rsidR="007D4BE3" w:rsidRPr="00894D21">
              <w:rPr>
                <w:rFonts w:ascii="Times New Roman" w:eastAsia="Times New Roman" w:hAnsi="Times New Roman" w:cs="Times New Roman"/>
                <w:sz w:val="24"/>
                <w:szCs w:val="24"/>
                <w:lang w:eastAsia="lv-LV"/>
              </w:rPr>
              <w:t>oteikum</w:t>
            </w:r>
            <w:r w:rsidR="00056B91" w:rsidRPr="00894D21">
              <w:rPr>
                <w:rFonts w:ascii="Times New Roman" w:eastAsia="Times New Roman" w:hAnsi="Times New Roman" w:cs="Times New Roman"/>
                <w:sz w:val="24"/>
                <w:szCs w:val="24"/>
                <w:lang w:eastAsia="lv-LV"/>
              </w:rPr>
              <w:t>u projekts</w:t>
            </w:r>
            <w:r w:rsidR="007D4BE3" w:rsidRPr="00894D21">
              <w:rPr>
                <w:rFonts w:ascii="Times New Roman" w:eastAsia="Times New Roman" w:hAnsi="Times New Roman" w:cs="Times New Roman"/>
                <w:sz w:val="24"/>
                <w:szCs w:val="24"/>
                <w:lang w:eastAsia="lv-LV"/>
              </w:rPr>
              <w:t xml:space="preserve"> ir nepieciešam</w:t>
            </w:r>
            <w:r w:rsidR="00056B91" w:rsidRPr="00894D21">
              <w:rPr>
                <w:rFonts w:ascii="Times New Roman" w:eastAsia="Times New Roman" w:hAnsi="Times New Roman" w:cs="Times New Roman"/>
                <w:sz w:val="24"/>
                <w:szCs w:val="24"/>
                <w:lang w:eastAsia="lv-LV"/>
              </w:rPr>
              <w:t>s</w:t>
            </w:r>
            <w:r w:rsidR="007D4BE3" w:rsidRPr="00894D21">
              <w:rPr>
                <w:rFonts w:ascii="Times New Roman" w:eastAsia="Times New Roman" w:hAnsi="Times New Roman" w:cs="Times New Roman"/>
                <w:sz w:val="24"/>
                <w:szCs w:val="24"/>
                <w:lang w:eastAsia="lv-LV"/>
              </w:rPr>
              <w:t xml:space="preserve">, lai </w:t>
            </w:r>
            <w:r w:rsidR="00746B48" w:rsidRPr="00894D21">
              <w:rPr>
                <w:rFonts w:ascii="Times New Roman" w:eastAsia="Times New Roman" w:hAnsi="Times New Roman" w:cs="Times New Roman"/>
                <w:sz w:val="24"/>
                <w:szCs w:val="24"/>
                <w:lang w:eastAsia="lv-LV"/>
              </w:rPr>
              <w:t xml:space="preserve">Latvijas Banka </w:t>
            </w:r>
            <w:r w:rsidR="007620BC" w:rsidRPr="00894D21">
              <w:rPr>
                <w:rFonts w:ascii="Times New Roman" w:eastAsia="Times New Roman" w:hAnsi="Times New Roman" w:cs="Times New Roman"/>
                <w:sz w:val="24"/>
                <w:szCs w:val="24"/>
                <w:lang w:eastAsia="lv-LV"/>
              </w:rPr>
              <w:t xml:space="preserve">finanšu tirgus </w:t>
            </w:r>
            <w:r w:rsidR="007620BC">
              <w:rPr>
                <w:rFonts w:ascii="Times New Roman" w:eastAsia="Times New Roman" w:hAnsi="Times New Roman" w:cs="Times New Roman"/>
                <w:sz w:val="24"/>
                <w:szCs w:val="24"/>
                <w:lang w:eastAsia="lv-LV"/>
              </w:rPr>
              <w:t xml:space="preserve">un tā dalībnieku darbības </w:t>
            </w:r>
            <w:r w:rsidR="001F55A2" w:rsidRPr="00894D21">
              <w:rPr>
                <w:rFonts w:ascii="Times New Roman" w:eastAsia="Times New Roman" w:hAnsi="Times New Roman" w:cs="Times New Roman"/>
                <w:sz w:val="24"/>
                <w:szCs w:val="24"/>
                <w:lang w:eastAsia="lv-LV"/>
              </w:rPr>
              <w:t xml:space="preserve">uzraudzības funkciju veikšanai </w:t>
            </w:r>
            <w:r w:rsidR="007D4BE3" w:rsidRPr="00894D21">
              <w:rPr>
                <w:rFonts w:ascii="Times New Roman" w:eastAsia="Times New Roman" w:hAnsi="Times New Roman" w:cs="Times New Roman"/>
                <w:sz w:val="24"/>
                <w:szCs w:val="24"/>
                <w:lang w:eastAsia="lv-LV"/>
              </w:rPr>
              <w:t xml:space="preserve">varētu iegūt </w:t>
            </w:r>
            <w:r w:rsidR="00DC31A6" w:rsidRPr="00894D21">
              <w:rPr>
                <w:rFonts w:ascii="Times New Roman" w:eastAsia="Times New Roman" w:hAnsi="Times New Roman" w:cs="Times New Roman"/>
                <w:sz w:val="24"/>
                <w:szCs w:val="24"/>
                <w:lang w:eastAsia="lv-LV"/>
              </w:rPr>
              <w:t>regulārus</w:t>
            </w:r>
            <w:r w:rsidR="00545CC7" w:rsidRPr="00894D21">
              <w:rPr>
                <w:rFonts w:ascii="Times New Roman" w:eastAsia="Times New Roman" w:hAnsi="Times New Roman" w:cs="Times New Roman"/>
                <w:sz w:val="24"/>
                <w:szCs w:val="24"/>
                <w:lang w:eastAsia="lv-LV"/>
              </w:rPr>
              <w:t>,</w:t>
            </w:r>
            <w:r w:rsidR="00DC31A6" w:rsidRPr="00894D21">
              <w:rPr>
                <w:rFonts w:ascii="Times New Roman" w:eastAsia="Times New Roman" w:hAnsi="Times New Roman" w:cs="Times New Roman"/>
                <w:sz w:val="24"/>
                <w:szCs w:val="24"/>
                <w:lang w:eastAsia="lv-LV"/>
              </w:rPr>
              <w:t xml:space="preserve"> </w:t>
            </w:r>
            <w:r w:rsidR="00545CC7" w:rsidRPr="00894D21">
              <w:rPr>
                <w:rFonts w:ascii="Times New Roman" w:eastAsia="Times New Roman" w:hAnsi="Times New Roman" w:cs="Times New Roman"/>
                <w:sz w:val="24"/>
                <w:szCs w:val="24"/>
                <w:lang w:eastAsia="lv-LV"/>
              </w:rPr>
              <w:t>vienotā formātā</w:t>
            </w:r>
            <w:r w:rsidR="001F55A2" w:rsidRPr="00894D21">
              <w:rPr>
                <w:rFonts w:ascii="Times New Roman" w:eastAsia="Times New Roman" w:hAnsi="Times New Roman" w:cs="Times New Roman"/>
                <w:sz w:val="24"/>
                <w:szCs w:val="24"/>
                <w:lang w:eastAsia="lv-LV"/>
              </w:rPr>
              <w:t xml:space="preserve"> sniegtus datus, kuriem veiktas </w:t>
            </w:r>
            <w:r w:rsidR="00545CC7" w:rsidRPr="00894D21">
              <w:rPr>
                <w:rFonts w:ascii="Times New Roman" w:eastAsia="Times New Roman" w:hAnsi="Times New Roman" w:cs="Times New Roman"/>
                <w:sz w:val="24"/>
                <w:szCs w:val="24"/>
                <w:lang w:eastAsia="lv-LV"/>
              </w:rPr>
              <w:t>standartizēt</w:t>
            </w:r>
            <w:r w:rsidR="001F55A2" w:rsidRPr="00894D21">
              <w:rPr>
                <w:rFonts w:ascii="Times New Roman" w:eastAsia="Times New Roman" w:hAnsi="Times New Roman" w:cs="Times New Roman"/>
                <w:sz w:val="24"/>
                <w:szCs w:val="24"/>
                <w:lang w:eastAsia="lv-LV"/>
              </w:rPr>
              <w:t>as</w:t>
            </w:r>
            <w:r w:rsidR="00545CC7" w:rsidRPr="00894D21">
              <w:rPr>
                <w:rFonts w:ascii="Times New Roman" w:eastAsia="Times New Roman" w:hAnsi="Times New Roman" w:cs="Times New Roman"/>
                <w:sz w:val="24"/>
                <w:szCs w:val="24"/>
                <w:lang w:eastAsia="lv-LV"/>
              </w:rPr>
              <w:t xml:space="preserve"> datu kvalitātes pārbaud</w:t>
            </w:r>
            <w:r w:rsidR="001F55A2" w:rsidRPr="00894D21">
              <w:rPr>
                <w:rFonts w:ascii="Times New Roman" w:eastAsia="Times New Roman" w:hAnsi="Times New Roman" w:cs="Times New Roman"/>
                <w:sz w:val="24"/>
                <w:szCs w:val="24"/>
                <w:lang w:eastAsia="lv-LV"/>
              </w:rPr>
              <w:t>es,</w:t>
            </w:r>
            <w:r w:rsidR="00545CC7" w:rsidRPr="00894D21">
              <w:rPr>
                <w:rFonts w:ascii="Times New Roman" w:eastAsia="Times New Roman" w:hAnsi="Times New Roman" w:cs="Times New Roman"/>
                <w:sz w:val="24"/>
                <w:szCs w:val="24"/>
                <w:lang w:eastAsia="lv-LV"/>
              </w:rPr>
              <w:t xml:space="preserve"> </w:t>
            </w:r>
            <w:r w:rsidR="007D4BE3" w:rsidRPr="00894D21">
              <w:rPr>
                <w:rFonts w:ascii="Times New Roman" w:eastAsia="Times New Roman" w:hAnsi="Times New Roman" w:cs="Times New Roman"/>
                <w:sz w:val="24"/>
                <w:szCs w:val="24"/>
                <w:lang w:eastAsia="lv-LV"/>
              </w:rPr>
              <w:t>par</w:t>
            </w:r>
            <w:r w:rsidR="004D0490" w:rsidRPr="00894D21">
              <w:rPr>
                <w:rFonts w:ascii="Times New Roman" w:eastAsia="Times New Roman" w:hAnsi="Times New Roman" w:cs="Times New Roman"/>
                <w:sz w:val="24"/>
                <w:szCs w:val="24"/>
                <w:lang w:eastAsia="lv-LV"/>
              </w:rPr>
              <w:t xml:space="preserve"> noteikumu projektā minētajām jomām.</w:t>
            </w:r>
          </w:p>
        </w:tc>
      </w:tr>
      <w:tr w:rsidR="006C3828" w:rsidRPr="00894D21" w14:paraId="1C6D72DB" w14:textId="77777777" w:rsidTr="002B2146">
        <w:trPr>
          <w:trHeight w:val="567"/>
        </w:trPr>
        <w:tc>
          <w:tcPr>
            <w:tcW w:w="1014" w:type="pct"/>
            <w:shd w:val="clear" w:color="auto" w:fill="auto"/>
            <w:hideMark/>
          </w:tcPr>
          <w:p w14:paraId="1B9C7D28"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p w14:paraId="5D7A323C"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270DF230" w14:textId="6A5F5CE3" w:rsidR="007C5300" w:rsidRDefault="007C5300" w:rsidP="00B917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tiek izdoti, lai Latvijas Banka iegūtu datus, kas nepieciešami tās uzdevumu veikšanai</w:t>
            </w:r>
            <w:r w:rsidRPr="005068F9">
              <w:rPr>
                <w:rFonts w:ascii="Times New Roman" w:eastAsia="Times New Roman" w:hAnsi="Times New Roman" w:cs="Times New Roman"/>
                <w:sz w:val="24"/>
                <w:szCs w:val="24"/>
                <w:lang w:eastAsia="lv-LV"/>
              </w:rPr>
              <w:t xml:space="preserve">, t. sk. tam, lai veiktu finanšu tirgus un tā dalībnieku darbības uzraudzību, sagatavotu uzraudzības statistiku, monetāro un finanšu statistiku, ārējo statistiku un finanšu kontu statistiku, informētu citas institūcijas un sabiedrību par apdrošinātāju vai </w:t>
            </w:r>
            <w:proofErr w:type="spellStart"/>
            <w:r w:rsidRPr="005068F9">
              <w:rPr>
                <w:rFonts w:ascii="Times New Roman" w:eastAsia="Times New Roman" w:hAnsi="Times New Roman" w:cs="Times New Roman"/>
                <w:sz w:val="24"/>
                <w:szCs w:val="24"/>
                <w:lang w:eastAsia="lv-LV"/>
              </w:rPr>
              <w:t>pārapdrošinātāju</w:t>
            </w:r>
            <w:proofErr w:type="spellEnd"/>
            <w:r w:rsidRPr="005068F9">
              <w:rPr>
                <w:rFonts w:ascii="Times New Roman" w:eastAsia="Times New Roman" w:hAnsi="Times New Roman" w:cs="Times New Roman"/>
                <w:sz w:val="24"/>
                <w:szCs w:val="24"/>
                <w:lang w:eastAsia="lv-LV"/>
              </w:rPr>
              <w:t xml:space="preserve"> darbības attīstību Latvijā un veiktu finanšu stabilitātes analīzi</w:t>
            </w:r>
            <w:r>
              <w:rPr>
                <w:rFonts w:ascii="Times New Roman" w:eastAsia="Times New Roman" w:hAnsi="Times New Roman" w:cs="Times New Roman"/>
                <w:sz w:val="24"/>
                <w:szCs w:val="24"/>
                <w:lang w:eastAsia="lv-LV"/>
              </w:rPr>
              <w:t>.</w:t>
            </w:r>
          </w:p>
          <w:p w14:paraId="7C489491" w14:textId="4664E0B9" w:rsidR="00897C92" w:rsidRDefault="007F298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w:t>
            </w:r>
            <w:r w:rsidR="5BCFDC2B" w:rsidRPr="00894D21">
              <w:rPr>
                <w:rFonts w:ascii="Times New Roman" w:eastAsia="Times New Roman" w:hAnsi="Times New Roman" w:cs="Times New Roman"/>
                <w:sz w:val="24"/>
                <w:szCs w:val="24"/>
                <w:lang w:eastAsia="lv-LV"/>
              </w:rPr>
              <w:t>projekta</w:t>
            </w:r>
            <w:r w:rsidRPr="00894D21">
              <w:rPr>
                <w:rFonts w:ascii="Times New Roman" w:eastAsia="Times New Roman" w:hAnsi="Times New Roman" w:cs="Times New Roman"/>
                <w:sz w:val="24"/>
                <w:szCs w:val="24"/>
                <w:lang w:eastAsia="lv-LV"/>
              </w:rPr>
              <w:t xml:space="preserve"> tvērumā ietilpstošie pārskati</w:t>
            </w:r>
            <w:r w:rsidR="00517E8B" w:rsidRPr="00894D21">
              <w:rPr>
                <w:rFonts w:ascii="Times New Roman" w:eastAsia="Times New Roman" w:hAnsi="Times New Roman" w:cs="Times New Roman"/>
                <w:sz w:val="24"/>
                <w:szCs w:val="24"/>
                <w:lang w:eastAsia="lv-LV"/>
              </w:rPr>
              <w:t xml:space="preserve"> vai tajos iekļau</w:t>
            </w:r>
            <w:r w:rsidR="007620BC">
              <w:rPr>
                <w:rFonts w:ascii="Times New Roman" w:eastAsia="Times New Roman" w:hAnsi="Times New Roman" w:cs="Times New Roman"/>
                <w:sz w:val="24"/>
                <w:szCs w:val="24"/>
                <w:lang w:eastAsia="lv-LV"/>
              </w:rPr>
              <w:t>jam</w:t>
            </w:r>
            <w:r w:rsidR="00517E8B" w:rsidRPr="00894D21">
              <w:rPr>
                <w:rFonts w:ascii="Times New Roman" w:eastAsia="Times New Roman" w:hAnsi="Times New Roman" w:cs="Times New Roman"/>
                <w:sz w:val="24"/>
                <w:szCs w:val="24"/>
                <w:lang w:eastAsia="lv-LV"/>
              </w:rPr>
              <w:t>ā informācija</w:t>
            </w:r>
            <w:r w:rsidRPr="00894D21">
              <w:rPr>
                <w:rFonts w:ascii="Times New Roman" w:eastAsia="Times New Roman" w:hAnsi="Times New Roman" w:cs="Times New Roman"/>
                <w:sz w:val="24"/>
                <w:szCs w:val="24"/>
                <w:lang w:eastAsia="lv-LV"/>
              </w:rPr>
              <w:t xml:space="preserve"> jau šobrīd tiek regulāri saņemt</w:t>
            </w:r>
            <w:r w:rsidR="00C05B30">
              <w:rPr>
                <w:rFonts w:ascii="Times New Roman" w:eastAsia="Times New Roman" w:hAnsi="Times New Roman" w:cs="Times New Roman"/>
                <w:sz w:val="24"/>
                <w:szCs w:val="24"/>
                <w:lang w:eastAsia="lv-LV"/>
              </w:rPr>
              <w:t>a</w:t>
            </w:r>
            <w:r w:rsidRPr="00894D21">
              <w:rPr>
                <w:rFonts w:ascii="Times New Roman" w:eastAsia="Times New Roman" w:hAnsi="Times New Roman" w:cs="Times New Roman"/>
                <w:sz w:val="24"/>
                <w:szCs w:val="24"/>
                <w:lang w:eastAsia="lv-LV"/>
              </w:rPr>
              <w:t xml:space="preserve"> no </w:t>
            </w:r>
            <w:r w:rsidR="000D77DE">
              <w:rPr>
                <w:rFonts w:ascii="Times New Roman" w:eastAsia="Times New Roman" w:hAnsi="Times New Roman" w:cs="Times New Roman"/>
                <w:sz w:val="24"/>
                <w:szCs w:val="24"/>
                <w:lang w:eastAsia="lv-LV"/>
              </w:rPr>
              <w:t>apdrošināšanas sabiedrībām un dalībvalst</w:t>
            </w:r>
            <w:r w:rsidR="007620BC">
              <w:rPr>
                <w:rFonts w:ascii="Times New Roman" w:eastAsia="Times New Roman" w:hAnsi="Times New Roman" w:cs="Times New Roman"/>
                <w:sz w:val="24"/>
                <w:szCs w:val="24"/>
                <w:lang w:eastAsia="lv-LV"/>
              </w:rPr>
              <w:t>s</w:t>
            </w:r>
            <w:r w:rsidR="000D77DE">
              <w:rPr>
                <w:rFonts w:ascii="Times New Roman" w:eastAsia="Times New Roman" w:hAnsi="Times New Roman" w:cs="Times New Roman"/>
                <w:sz w:val="24"/>
                <w:szCs w:val="24"/>
                <w:lang w:eastAsia="lv-LV"/>
              </w:rPr>
              <w:t xml:space="preserve"> apdrošinātāju filiālēm</w:t>
            </w:r>
            <w:r w:rsidRPr="00894D21">
              <w:rPr>
                <w:rFonts w:ascii="Times New Roman" w:eastAsia="Times New Roman" w:hAnsi="Times New Roman" w:cs="Times New Roman"/>
                <w:sz w:val="24"/>
                <w:szCs w:val="24"/>
                <w:lang w:eastAsia="lv-LV"/>
              </w:rPr>
              <w:t>, līdz ar to dati</w:t>
            </w:r>
            <w:r w:rsidR="00341646"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 xml:space="preserve">pārskatu sagatavošanai jau šobrīd ir pieejami un </w:t>
            </w:r>
            <w:r w:rsidR="00341646" w:rsidRPr="00894D21">
              <w:rPr>
                <w:rFonts w:ascii="Times New Roman" w:eastAsia="Times New Roman" w:hAnsi="Times New Roman" w:cs="Times New Roman"/>
                <w:sz w:val="24"/>
                <w:szCs w:val="24"/>
                <w:lang w:eastAsia="lv-LV"/>
              </w:rPr>
              <w:t>noteikumu projekts</w:t>
            </w:r>
            <w:r w:rsidRPr="00894D21">
              <w:rPr>
                <w:rFonts w:ascii="Times New Roman" w:eastAsia="Times New Roman" w:hAnsi="Times New Roman" w:cs="Times New Roman"/>
                <w:sz w:val="24"/>
                <w:szCs w:val="24"/>
                <w:lang w:eastAsia="lv-LV"/>
              </w:rPr>
              <w:t xml:space="preserve"> neprasa </w:t>
            </w:r>
            <w:r w:rsidR="000D77DE">
              <w:rPr>
                <w:rFonts w:ascii="Times New Roman" w:eastAsia="Times New Roman" w:hAnsi="Times New Roman" w:cs="Times New Roman"/>
                <w:sz w:val="24"/>
                <w:szCs w:val="24"/>
                <w:lang w:eastAsia="lv-LV"/>
              </w:rPr>
              <w:t>apdrošināšanas sabiedrībām un dalībvalst</w:t>
            </w:r>
            <w:r w:rsidR="007620BC">
              <w:rPr>
                <w:rFonts w:ascii="Times New Roman" w:eastAsia="Times New Roman" w:hAnsi="Times New Roman" w:cs="Times New Roman"/>
                <w:sz w:val="24"/>
                <w:szCs w:val="24"/>
                <w:lang w:eastAsia="lv-LV"/>
              </w:rPr>
              <w:t>s</w:t>
            </w:r>
            <w:r w:rsidR="000D77DE">
              <w:rPr>
                <w:rFonts w:ascii="Times New Roman" w:eastAsia="Times New Roman" w:hAnsi="Times New Roman" w:cs="Times New Roman"/>
                <w:sz w:val="24"/>
                <w:szCs w:val="24"/>
                <w:lang w:eastAsia="lv-LV"/>
              </w:rPr>
              <w:t xml:space="preserve"> apdrošinātāju filiālēm</w:t>
            </w:r>
            <w:r w:rsidR="000D77DE"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ieviest jaunus procesus</w:t>
            </w:r>
            <w:r w:rsidR="00C420E2" w:rsidRPr="00894D21">
              <w:rPr>
                <w:rFonts w:ascii="Times New Roman" w:eastAsia="Times New Roman" w:hAnsi="Times New Roman" w:cs="Times New Roman"/>
                <w:sz w:val="24"/>
                <w:szCs w:val="24"/>
                <w:lang w:eastAsia="lv-LV"/>
              </w:rPr>
              <w:t xml:space="preserve"> datu </w:t>
            </w:r>
            <w:r w:rsidR="00894D21" w:rsidRPr="00894D21">
              <w:rPr>
                <w:rFonts w:ascii="Times New Roman" w:eastAsia="Times New Roman" w:hAnsi="Times New Roman" w:cs="Times New Roman"/>
                <w:sz w:val="24"/>
                <w:szCs w:val="24"/>
                <w:lang w:eastAsia="lv-LV"/>
              </w:rPr>
              <w:t xml:space="preserve">vākšanai un </w:t>
            </w:r>
            <w:r w:rsidR="00C420E2" w:rsidRPr="00894D21">
              <w:rPr>
                <w:rFonts w:ascii="Times New Roman" w:eastAsia="Times New Roman" w:hAnsi="Times New Roman" w:cs="Times New Roman"/>
                <w:sz w:val="24"/>
                <w:szCs w:val="24"/>
                <w:lang w:eastAsia="lv-LV"/>
              </w:rPr>
              <w:t>uzkrāšanai</w:t>
            </w:r>
            <w:r w:rsidRPr="00894D21">
              <w:rPr>
                <w:rFonts w:ascii="Times New Roman" w:eastAsia="Times New Roman" w:hAnsi="Times New Roman" w:cs="Times New Roman"/>
                <w:sz w:val="24"/>
                <w:szCs w:val="24"/>
                <w:lang w:eastAsia="lv-LV"/>
              </w:rPr>
              <w:t xml:space="preserve">. </w:t>
            </w:r>
          </w:p>
          <w:p w14:paraId="527F4BBD" w14:textId="627CAB36" w:rsidR="007F2988" w:rsidRPr="00894D21" w:rsidRDefault="000D77DE" w:rsidP="00B917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Latvijas finanšu sektorā </w:t>
            </w:r>
            <w:r w:rsidR="007620BC">
              <w:rPr>
                <w:rFonts w:ascii="Times New Roman" w:eastAsia="Times New Roman" w:hAnsi="Times New Roman" w:cs="Times New Roman"/>
                <w:sz w:val="24"/>
                <w:szCs w:val="24"/>
                <w:lang w:eastAsia="lv-LV"/>
              </w:rPr>
              <w:t xml:space="preserve">noteikumu projekta </w:t>
            </w:r>
            <w:r w:rsidR="00897C92">
              <w:rPr>
                <w:rFonts w:ascii="Times New Roman" w:eastAsia="Times New Roman" w:hAnsi="Times New Roman" w:cs="Times New Roman"/>
                <w:sz w:val="24"/>
                <w:szCs w:val="24"/>
                <w:lang w:eastAsia="lv-LV"/>
              </w:rPr>
              <w:t xml:space="preserve">izstrādes </w:t>
            </w:r>
            <w:r w:rsidR="007620BC">
              <w:rPr>
                <w:rFonts w:ascii="Times New Roman" w:eastAsia="Times New Roman" w:hAnsi="Times New Roman" w:cs="Times New Roman"/>
                <w:sz w:val="24"/>
                <w:szCs w:val="24"/>
                <w:lang w:eastAsia="lv-LV"/>
              </w:rPr>
              <w:t xml:space="preserve">laikā darbību neveic </w:t>
            </w:r>
            <w:r>
              <w:rPr>
                <w:rFonts w:ascii="Times New Roman" w:eastAsia="Times New Roman" w:hAnsi="Times New Roman" w:cs="Times New Roman"/>
                <w:sz w:val="24"/>
                <w:szCs w:val="24"/>
                <w:lang w:eastAsia="lv-LV"/>
              </w:rPr>
              <w:t>pārapdrošināšanas sabiedrības, dalībvalst</w:t>
            </w:r>
            <w:r w:rsidR="007620BC">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w:t>
            </w:r>
            <w:proofErr w:type="spellStart"/>
            <w:r>
              <w:rPr>
                <w:rFonts w:ascii="Times New Roman" w:eastAsia="Times New Roman" w:hAnsi="Times New Roman" w:cs="Times New Roman"/>
                <w:sz w:val="24"/>
                <w:szCs w:val="24"/>
                <w:lang w:eastAsia="lv-LV"/>
              </w:rPr>
              <w:t>pārapdrošinātāju</w:t>
            </w:r>
            <w:proofErr w:type="spellEnd"/>
            <w:r>
              <w:rPr>
                <w:rFonts w:ascii="Times New Roman" w:eastAsia="Times New Roman" w:hAnsi="Times New Roman" w:cs="Times New Roman"/>
                <w:sz w:val="24"/>
                <w:szCs w:val="24"/>
                <w:lang w:eastAsia="lv-LV"/>
              </w:rPr>
              <w:t xml:space="preserve"> filiāles, </w:t>
            </w:r>
            <w:r w:rsidRPr="000D77DE">
              <w:rPr>
                <w:rFonts w:ascii="Times New Roman" w:eastAsia="Times New Roman" w:hAnsi="Times New Roman" w:cs="Times New Roman"/>
                <w:sz w:val="24"/>
                <w:szCs w:val="24"/>
                <w:lang w:eastAsia="lv-LV"/>
              </w:rPr>
              <w:t>ārvalst</w:t>
            </w:r>
            <w:r w:rsidR="007620BC">
              <w:rPr>
                <w:rFonts w:ascii="Times New Roman" w:eastAsia="Times New Roman" w:hAnsi="Times New Roman" w:cs="Times New Roman"/>
                <w:sz w:val="24"/>
                <w:szCs w:val="24"/>
                <w:lang w:eastAsia="lv-LV"/>
              </w:rPr>
              <w:t>s</w:t>
            </w:r>
            <w:r w:rsidRPr="000D77DE">
              <w:rPr>
                <w:rFonts w:ascii="Times New Roman" w:eastAsia="Times New Roman" w:hAnsi="Times New Roman" w:cs="Times New Roman"/>
                <w:sz w:val="24"/>
                <w:szCs w:val="24"/>
                <w:lang w:eastAsia="lv-LV"/>
              </w:rPr>
              <w:t xml:space="preserve"> apdrošinātāju </w:t>
            </w:r>
            <w:r w:rsidR="007620BC">
              <w:rPr>
                <w:rFonts w:ascii="Times New Roman" w:eastAsia="Times New Roman" w:hAnsi="Times New Roman" w:cs="Times New Roman"/>
                <w:sz w:val="24"/>
                <w:szCs w:val="24"/>
                <w:lang w:eastAsia="lv-LV"/>
              </w:rPr>
              <w:t xml:space="preserve">filiāles </w:t>
            </w:r>
            <w:r w:rsidRPr="000D77DE">
              <w:rPr>
                <w:rFonts w:ascii="Times New Roman" w:eastAsia="Times New Roman" w:hAnsi="Times New Roman" w:cs="Times New Roman"/>
                <w:sz w:val="24"/>
                <w:szCs w:val="24"/>
                <w:lang w:eastAsia="lv-LV"/>
              </w:rPr>
              <w:t xml:space="preserve">vai </w:t>
            </w:r>
            <w:r w:rsidR="007620BC">
              <w:rPr>
                <w:rFonts w:ascii="Times New Roman" w:eastAsia="Times New Roman" w:hAnsi="Times New Roman" w:cs="Times New Roman"/>
                <w:sz w:val="24"/>
                <w:szCs w:val="24"/>
                <w:lang w:eastAsia="lv-LV"/>
              </w:rPr>
              <w:t xml:space="preserve">ārvalsts </w:t>
            </w:r>
            <w:proofErr w:type="spellStart"/>
            <w:r w:rsidRPr="000D77DE">
              <w:rPr>
                <w:rFonts w:ascii="Times New Roman" w:eastAsia="Times New Roman" w:hAnsi="Times New Roman" w:cs="Times New Roman"/>
                <w:sz w:val="24"/>
                <w:szCs w:val="24"/>
                <w:lang w:eastAsia="lv-LV"/>
              </w:rPr>
              <w:t>pārapdrošinātāju</w:t>
            </w:r>
            <w:proofErr w:type="spellEnd"/>
            <w:r w:rsidRPr="000D77DE">
              <w:rPr>
                <w:rFonts w:ascii="Times New Roman" w:eastAsia="Times New Roman" w:hAnsi="Times New Roman" w:cs="Times New Roman"/>
                <w:sz w:val="24"/>
                <w:szCs w:val="24"/>
                <w:lang w:eastAsia="lv-LV"/>
              </w:rPr>
              <w:t xml:space="preserve"> filiāles, apdrošināšanas vai pārapdrošināšanas dalības sabiedrība</w:t>
            </w:r>
            <w:r>
              <w:rPr>
                <w:rFonts w:ascii="Times New Roman" w:eastAsia="Times New Roman" w:hAnsi="Times New Roman" w:cs="Times New Roman"/>
                <w:sz w:val="24"/>
                <w:szCs w:val="24"/>
                <w:lang w:eastAsia="lv-LV"/>
              </w:rPr>
              <w:t>s</w:t>
            </w:r>
            <w:r w:rsidRPr="000D77DE">
              <w:rPr>
                <w:rFonts w:ascii="Times New Roman" w:eastAsia="Times New Roman" w:hAnsi="Times New Roman" w:cs="Times New Roman"/>
                <w:sz w:val="24"/>
                <w:szCs w:val="24"/>
                <w:lang w:eastAsia="lv-LV"/>
              </w:rPr>
              <w:t xml:space="preserve">, apdrošināšanas </w:t>
            </w:r>
            <w:proofErr w:type="spellStart"/>
            <w:r w:rsidRPr="000D77DE">
              <w:rPr>
                <w:rFonts w:ascii="Times New Roman" w:eastAsia="Times New Roman" w:hAnsi="Times New Roman" w:cs="Times New Roman"/>
                <w:sz w:val="24"/>
                <w:szCs w:val="24"/>
                <w:lang w:eastAsia="lv-LV"/>
              </w:rPr>
              <w:t>pārvaldītājsabiedrības</w:t>
            </w:r>
            <w:proofErr w:type="spellEnd"/>
            <w:r w:rsidRPr="000D77DE">
              <w:rPr>
                <w:rFonts w:ascii="Times New Roman" w:eastAsia="Times New Roman" w:hAnsi="Times New Roman" w:cs="Times New Roman"/>
                <w:sz w:val="24"/>
                <w:szCs w:val="24"/>
                <w:lang w:eastAsia="lv-LV"/>
              </w:rPr>
              <w:t xml:space="preserve"> </w:t>
            </w:r>
            <w:r w:rsidR="007620BC">
              <w:rPr>
                <w:rFonts w:ascii="Times New Roman" w:eastAsia="Times New Roman" w:hAnsi="Times New Roman" w:cs="Times New Roman"/>
                <w:sz w:val="24"/>
                <w:szCs w:val="24"/>
                <w:lang w:eastAsia="lv-LV"/>
              </w:rPr>
              <w:t>vai</w:t>
            </w:r>
            <w:r w:rsidR="007620BC" w:rsidRPr="000D77DE">
              <w:rPr>
                <w:rFonts w:ascii="Times New Roman" w:eastAsia="Times New Roman" w:hAnsi="Times New Roman" w:cs="Times New Roman"/>
                <w:sz w:val="24"/>
                <w:szCs w:val="24"/>
                <w:lang w:eastAsia="lv-LV"/>
              </w:rPr>
              <w:t xml:space="preserve"> </w:t>
            </w:r>
            <w:r w:rsidRPr="000D77DE">
              <w:rPr>
                <w:rFonts w:ascii="Times New Roman" w:eastAsia="Times New Roman" w:hAnsi="Times New Roman" w:cs="Times New Roman"/>
                <w:sz w:val="24"/>
                <w:szCs w:val="24"/>
                <w:lang w:eastAsia="lv-LV"/>
              </w:rPr>
              <w:t xml:space="preserve">jauktas finanšu </w:t>
            </w:r>
            <w:proofErr w:type="spellStart"/>
            <w:r w:rsidRPr="000D77DE">
              <w:rPr>
                <w:rFonts w:ascii="Times New Roman" w:eastAsia="Times New Roman" w:hAnsi="Times New Roman" w:cs="Times New Roman"/>
                <w:sz w:val="24"/>
                <w:szCs w:val="24"/>
                <w:lang w:eastAsia="lv-LV"/>
              </w:rPr>
              <w:t>pārvaldītājsabiedrības</w:t>
            </w:r>
            <w:proofErr w:type="spellEnd"/>
            <w:r>
              <w:rPr>
                <w:rFonts w:ascii="Times New Roman" w:eastAsia="Times New Roman" w:hAnsi="Times New Roman" w:cs="Times New Roman"/>
                <w:sz w:val="24"/>
                <w:szCs w:val="24"/>
                <w:lang w:eastAsia="lv-LV"/>
              </w:rPr>
              <w:t>.</w:t>
            </w:r>
          </w:p>
          <w:p w14:paraId="79D1ADB2" w14:textId="60E07DE6" w:rsidR="00897C92"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Līdz ar to atbilstošākais veids, kā noteikt finanšu tirgus dalībniekiem vienotas prasības </w:t>
            </w:r>
            <w:r w:rsidR="007620BC" w:rsidRPr="00894D21">
              <w:rPr>
                <w:rFonts w:ascii="Times New Roman" w:eastAsia="Times New Roman" w:hAnsi="Times New Roman" w:cs="Times New Roman"/>
                <w:sz w:val="24"/>
                <w:szCs w:val="24"/>
                <w:lang w:eastAsia="lv-LV"/>
              </w:rPr>
              <w:t xml:space="preserve">finanšu tirgus </w:t>
            </w:r>
            <w:r w:rsidR="007620BC">
              <w:rPr>
                <w:rFonts w:ascii="Times New Roman" w:eastAsia="Times New Roman" w:hAnsi="Times New Roman" w:cs="Times New Roman"/>
                <w:sz w:val="24"/>
                <w:szCs w:val="24"/>
                <w:lang w:eastAsia="lv-LV"/>
              </w:rPr>
              <w:t>un tā dalībnieku darbības</w:t>
            </w:r>
            <w:r w:rsidR="007620BC" w:rsidRPr="00894D21">
              <w:rPr>
                <w:rFonts w:ascii="Times New Roman" w:eastAsia="Times New Roman" w:hAnsi="Times New Roman" w:cs="Times New Roman"/>
                <w:sz w:val="24"/>
                <w:szCs w:val="24"/>
                <w:lang w:eastAsia="lv-LV"/>
              </w:rPr>
              <w:t xml:space="preserve"> </w:t>
            </w:r>
            <w:r w:rsidR="004F3EC2" w:rsidRPr="00894D21">
              <w:rPr>
                <w:rFonts w:ascii="Times New Roman" w:eastAsia="Times New Roman" w:hAnsi="Times New Roman" w:cs="Times New Roman"/>
                <w:sz w:val="24"/>
                <w:szCs w:val="24"/>
                <w:lang w:eastAsia="lv-LV"/>
              </w:rPr>
              <w:t>uzraudzības pārskatu sagatavošanai</w:t>
            </w:r>
            <w:r w:rsidR="00483980" w:rsidRPr="00894D21">
              <w:rPr>
                <w:rFonts w:ascii="Times New Roman" w:eastAsia="Times New Roman" w:hAnsi="Times New Roman" w:cs="Times New Roman"/>
                <w:sz w:val="24"/>
                <w:szCs w:val="24"/>
                <w:lang w:eastAsia="lv-LV"/>
              </w:rPr>
              <w:t xml:space="preserve"> un iesniegšanai</w:t>
            </w:r>
            <w:r w:rsidRPr="00894D21">
              <w:rPr>
                <w:rFonts w:ascii="Times New Roman" w:eastAsia="Times New Roman" w:hAnsi="Times New Roman" w:cs="Times New Roman"/>
                <w:sz w:val="24"/>
                <w:szCs w:val="24"/>
                <w:lang w:eastAsia="lv-LV"/>
              </w:rPr>
              <w:t>, ir izdot tiem saistošus noteikumus. Citas alternatīvas jautājuma noregulēšanai un vienotu prasību noteikšanai nebūtu efektīvas un nesasniegtu izvirzīto mērķi, jo nenodrošinātu vienveidīgu piemērošanu.</w:t>
            </w:r>
          </w:p>
          <w:p w14:paraId="29E6F5B9" w14:textId="7FD71871" w:rsidR="00C071E2" w:rsidRPr="00894D21" w:rsidRDefault="009E0BDF" w:rsidP="00B917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6C3828" w:rsidRPr="00894D21">
              <w:rPr>
                <w:rFonts w:ascii="Times New Roman" w:eastAsia="Times New Roman" w:hAnsi="Times New Roman" w:cs="Times New Roman"/>
                <w:sz w:val="24"/>
                <w:szCs w:val="24"/>
                <w:lang w:eastAsia="lv-LV"/>
              </w:rPr>
              <w:t xml:space="preserve">ormatīvais akts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w:t>
            </w:r>
            <w:r w:rsidR="006C3828" w:rsidRPr="00894D21">
              <w:rPr>
                <w:rFonts w:ascii="Times New Roman" w:eastAsia="Times New Roman" w:hAnsi="Times New Roman" w:cs="Times New Roman"/>
                <w:sz w:val="24"/>
                <w:szCs w:val="24"/>
                <w:lang w:eastAsia="lv-LV"/>
              </w:rPr>
              <w:lastRenderedPageBreak/>
              <w:t>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894D21" w14:paraId="1B86501B" w14:textId="77777777" w:rsidTr="00B917A7">
        <w:trPr>
          <w:trHeight w:val="416"/>
        </w:trPr>
        <w:tc>
          <w:tcPr>
            <w:tcW w:w="1014" w:type="pct"/>
            <w:shd w:val="clear" w:color="auto" w:fill="auto"/>
            <w:hideMark/>
          </w:tcPr>
          <w:p w14:paraId="2DDBFB53"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bookmarkStart w:id="1" w:name="_Hlk129966404"/>
            <w:r w:rsidRPr="00894D21">
              <w:rPr>
                <w:rFonts w:ascii="Times New Roman" w:eastAsia="Times New Roman" w:hAnsi="Times New Roman" w:cs="Times New Roman"/>
                <w:b/>
                <w:bCs/>
                <w:sz w:val="24"/>
                <w:szCs w:val="24"/>
                <w:lang w:eastAsia="lv-LV"/>
              </w:rPr>
              <w:lastRenderedPageBreak/>
              <w:t>Spēkā stāšanās</w:t>
            </w:r>
          </w:p>
          <w:bookmarkEnd w:id="1"/>
          <w:p w14:paraId="6B4568B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60CFB602" w14:textId="72276516"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projekts stāsies spēkā 202</w:t>
            </w:r>
            <w:r w:rsidR="009E0BDF">
              <w:rPr>
                <w:rFonts w:ascii="Times New Roman" w:eastAsia="Times New Roman" w:hAnsi="Times New Roman" w:cs="Times New Roman"/>
                <w:sz w:val="24"/>
                <w:szCs w:val="24"/>
                <w:lang w:eastAsia="lv-LV"/>
              </w:rPr>
              <w:t>5</w:t>
            </w:r>
            <w:r w:rsidRPr="00894D21">
              <w:rPr>
                <w:rFonts w:ascii="Times New Roman" w:eastAsia="Times New Roman" w:hAnsi="Times New Roman" w:cs="Times New Roman"/>
                <w:sz w:val="24"/>
                <w:szCs w:val="24"/>
                <w:lang w:eastAsia="lv-LV"/>
              </w:rPr>
              <w:t>.</w:t>
            </w:r>
            <w:r w:rsidR="00F110A0"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gada </w:t>
            </w:r>
            <w:r w:rsidR="001E5AFF" w:rsidRPr="00894D21">
              <w:rPr>
                <w:rFonts w:ascii="Times New Roman" w:eastAsia="Times New Roman" w:hAnsi="Times New Roman" w:cs="Times New Roman"/>
                <w:sz w:val="24"/>
                <w:szCs w:val="24"/>
                <w:lang w:eastAsia="lv-LV"/>
              </w:rPr>
              <w:t>1</w:t>
            </w:r>
            <w:r w:rsidRPr="00894D21">
              <w:rPr>
                <w:rFonts w:ascii="Times New Roman" w:eastAsia="Times New Roman" w:hAnsi="Times New Roman" w:cs="Times New Roman"/>
                <w:sz w:val="24"/>
                <w:szCs w:val="24"/>
                <w:lang w:eastAsia="lv-LV"/>
              </w:rPr>
              <w:t>.</w:t>
            </w:r>
            <w:r w:rsidR="00F110A0" w:rsidRPr="00894D21">
              <w:rPr>
                <w:rFonts w:ascii="Times New Roman" w:eastAsia="Times New Roman" w:hAnsi="Times New Roman" w:cs="Times New Roman"/>
                <w:sz w:val="24"/>
                <w:szCs w:val="24"/>
                <w:lang w:eastAsia="lv-LV"/>
              </w:rPr>
              <w:t> </w:t>
            </w:r>
            <w:r w:rsidR="009E0BDF">
              <w:rPr>
                <w:rFonts w:ascii="Times New Roman" w:eastAsia="Times New Roman" w:hAnsi="Times New Roman" w:cs="Times New Roman"/>
                <w:sz w:val="24"/>
                <w:szCs w:val="24"/>
                <w:lang w:eastAsia="lv-LV"/>
              </w:rPr>
              <w:t>janvārī.</w:t>
            </w:r>
          </w:p>
        </w:tc>
      </w:tr>
      <w:tr w:rsidR="006C3828" w:rsidRPr="00894D21" w14:paraId="0DEA2EE8" w14:textId="77777777" w:rsidTr="002B2146">
        <w:trPr>
          <w:trHeight w:val="567"/>
        </w:trPr>
        <w:tc>
          <w:tcPr>
            <w:tcW w:w="1014" w:type="pct"/>
            <w:shd w:val="clear" w:color="auto" w:fill="auto"/>
            <w:hideMark/>
          </w:tcPr>
          <w:p w14:paraId="0ABBEC6F"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10C919A9" w14:textId="77777777"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2B2146">
        <w:trPr>
          <w:trHeight w:val="567"/>
        </w:trPr>
        <w:tc>
          <w:tcPr>
            <w:tcW w:w="1014" w:type="pct"/>
            <w:shd w:val="clear" w:color="auto" w:fill="auto"/>
            <w:hideMark/>
          </w:tcPr>
          <w:p w14:paraId="6C162AD5"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bookmarkStart w:id="2"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2"/>
          <w:p w14:paraId="29762232"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340A9289" w14:textId="473A7FC2"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projektā ietvertās prasības</w:t>
            </w:r>
            <w:r w:rsidR="009E0BDF">
              <w:rPr>
                <w:rFonts w:ascii="Times New Roman" w:eastAsia="Times New Roman" w:hAnsi="Times New Roman" w:cs="Times New Roman"/>
                <w:color w:val="000000"/>
                <w:sz w:val="24"/>
                <w:szCs w:val="24"/>
                <w:lang w:eastAsia="lv-LV"/>
              </w:rPr>
              <w:t xml:space="preserve"> saistībā ar izmaiņām </w:t>
            </w:r>
            <w:r w:rsidR="009E0BDF" w:rsidRPr="00751877">
              <w:rPr>
                <w:rFonts w:ascii="Times New Roman" w:eastAsia="Times New Roman" w:hAnsi="Times New Roman" w:cs="Times New Roman"/>
                <w:color w:val="000000"/>
                <w:sz w:val="24"/>
                <w:szCs w:val="24"/>
                <w:lang w:eastAsia="lv-LV"/>
              </w:rPr>
              <w:t>informācijas iesniegšanas kārtīb</w:t>
            </w:r>
            <w:r w:rsidR="009E0BDF">
              <w:rPr>
                <w:rFonts w:ascii="Times New Roman" w:eastAsia="Times New Roman" w:hAnsi="Times New Roman" w:cs="Times New Roman"/>
                <w:color w:val="000000"/>
                <w:sz w:val="24"/>
                <w:szCs w:val="24"/>
                <w:lang w:eastAsia="lv-LV"/>
              </w:rPr>
              <w:t xml:space="preserve">ā, pārejot no informācijas </w:t>
            </w:r>
            <w:r w:rsidR="007620BC">
              <w:rPr>
                <w:rFonts w:ascii="Times New Roman" w:eastAsia="Times New Roman" w:hAnsi="Times New Roman" w:cs="Times New Roman"/>
                <w:color w:val="000000"/>
                <w:sz w:val="24"/>
                <w:szCs w:val="24"/>
                <w:lang w:eastAsia="lv-LV"/>
              </w:rPr>
              <w:t>ie</w:t>
            </w:r>
            <w:r w:rsidR="009E0BDF">
              <w:rPr>
                <w:rFonts w:ascii="Times New Roman" w:eastAsia="Times New Roman" w:hAnsi="Times New Roman" w:cs="Times New Roman"/>
                <w:color w:val="000000"/>
                <w:sz w:val="24"/>
                <w:szCs w:val="24"/>
                <w:lang w:eastAsia="lv-LV"/>
              </w:rPr>
              <w:t xml:space="preserve">sniegšanas, izmantojot datu ziņošanas sistēmu, uz informācijas </w:t>
            </w:r>
            <w:r w:rsidR="007620BC">
              <w:rPr>
                <w:rFonts w:ascii="Times New Roman" w:eastAsia="Times New Roman" w:hAnsi="Times New Roman" w:cs="Times New Roman"/>
                <w:color w:val="000000"/>
                <w:sz w:val="24"/>
                <w:szCs w:val="24"/>
                <w:lang w:eastAsia="lv-LV"/>
              </w:rPr>
              <w:t>ie</w:t>
            </w:r>
            <w:r w:rsidR="009E0BDF">
              <w:rPr>
                <w:rFonts w:ascii="Times New Roman" w:eastAsia="Times New Roman" w:hAnsi="Times New Roman" w:cs="Times New Roman"/>
                <w:color w:val="000000"/>
                <w:sz w:val="24"/>
                <w:szCs w:val="24"/>
                <w:lang w:eastAsia="lv-LV"/>
              </w:rPr>
              <w:t xml:space="preserve">sniegšanu, izmantojot </w:t>
            </w:r>
            <w:r w:rsidR="009E0BDF" w:rsidRPr="00E94A3A">
              <w:rPr>
                <w:rFonts w:ascii="Times New Roman" w:eastAsia="Times New Roman" w:hAnsi="Times New Roman" w:cs="Times New Roman"/>
                <w:color w:val="000000"/>
                <w:sz w:val="24"/>
                <w:szCs w:val="24"/>
                <w:lang w:eastAsia="lv-LV"/>
              </w:rPr>
              <w:t>paaugstinātās drošības sistēmu</w:t>
            </w:r>
            <w:r w:rsidR="009E0BDF">
              <w:rPr>
                <w:rFonts w:ascii="Times New Roman" w:eastAsia="Times New Roman" w:hAnsi="Times New Roman" w:cs="Times New Roman"/>
                <w:color w:val="000000"/>
                <w:sz w:val="24"/>
                <w:szCs w:val="24"/>
                <w:lang w:eastAsia="lv-LV"/>
              </w:rPr>
              <w:t xml:space="preserve">, </w:t>
            </w:r>
            <w:r w:rsidR="00500264">
              <w:rPr>
                <w:rFonts w:ascii="Times New Roman" w:eastAsia="Times New Roman" w:hAnsi="Times New Roman" w:cs="Times New Roman"/>
                <w:color w:val="000000"/>
                <w:sz w:val="24"/>
                <w:szCs w:val="24"/>
                <w:lang w:eastAsia="lv-LV"/>
              </w:rPr>
              <w:t xml:space="preserve">noteikumu piemērošanas sākotnējā periodā </w:t>
            </w:r>
            <w:r w:rsidR="009E0BDF">
              <w:rPr>
                <w:rFonts w:ascii="Times New Roman" w:eastAsia="Times New Roman" w:hAnsi="Times New Roman" w:cs="Times New Roman"/>
                <w:color w:val="000000"/>
                <w:sz w:val="24"/>
                <w:szCs w:val="24"/>
                <w:lang w:eastAsia="lv-LV"/>
              </w:rPr>
              <w:t xml:space="preserve">varētu </w:t>
            </w:r>
            <w:r w:rsidRPr="00894D21">
              <w:rPr>
                <w:rFonts w:ascii="Times New Roman" w:eastAsia="Times New Roman" w:hAnsi="Times New Roman" w:cs="Times New Roman"/>
                <w:sz w:val="24"/>
                <w:szCs w:val="24"/>
                <w:lang w:eastAsia="lv-LV"/>
              </w:rPr>
              <w:t>radī</w:t>
            </w:r>
            <w:r w:rsidR="00000ADD">
              <w:rPr>
                <w:rFonts w:ascii="Times New Roman" w:eastAsia="Times New Roman" w:hAnsi="Times New Roman" w:cs="Times New Roman"/>
                <w:sz w:val="24"/>
                <w:szCs w:val="24"/>
                <w:lang w:eastAsia="lv-LV"/>
              </w:rPr>
              <w:t>t</w:t>
            </w:r>
            <w:r w:rsidRPr="00894D21">
              <w:rPr>
                <w:rFonts w:ascii="Times New Roman" w:eastAsia="Times New Roman" w:hAnsi="Times New Roman" w:cs="Times New Roman"/>
                <w:sz w:val="24"/>
                <w:szCs w:val="24"/>
                <w:lang w:eastAsia="lv-LV"/>
              </w:rPr>
              <w:t xml:space="preserve"> </w:t>
            </w:r>
            <w:r w:rsidR="00500264">
              <w:rPr>
                <w:rFonts w:ascii="Times New Roman" w:eastAsia="Times New Roman" w:hAnsi="Times New Roman" w:cs="Times New Roman"/>
                <w:sz w:val="24"/>
                <w:szCs w:val="24"/>
                <w:lang w:eastAsia="lv-LV"/>
              </w:rPr>
              <w:t xml:space="preserve">nelielu </w:t>
            </w:r>
            <w:r w:rsidRPr="00894D21">
              <w:rPr>
                <w:rFonts w:ascii="Times New Roman" w:eastAsia="Times New Roman" w:hAnsi="Times New Roman" w:cs="Times New Roman"/>
                <w:sz w:val="24"/>
                <w:szCs w:val="24"/>
                <w:lang w:eastAsia="lv-LV"/>
              </w:rPr>
              <w:t xml:space="preserve">papildu administratīvo slogu </w:t>
            </w:r>
            <w:r w:rsidR="00A372E9" w:rsidRPr="00894D21">
              <w:rPr>
                <w:rFonts w:ascii="Times New Roman" w:eastAsia="Times New Roman" w:hAnsi="Times New Roman" w:cs="Times New Roman"/>
                <w:sz w:val="24"/>
                <w:szCs w:val="24"/>
                <w:lang w:eastAsia="lv-LV"/>
              </w:rPr>
              <w:t xml:space="preserve">un izmaksas </w:t>
            </w:r>
            <w:r w:rsidRPr="00894D21">
              <w:rPr>
                <w:rFonts w:ascii="Times New Roman" w:eastAsia="Times New Roman" w:hAnsi="Times New Roman" w:cs="Times New Roman"/>
                <w:sz w:val="24"/>
                <w:szCs w:val="24"/>
                <w:lang w:eastAsia="lv-LV"/>
              </w:rPr>
              <w:t>finanšu tirgus dalībniekiem, uz kuriem ir attiecināmas noteikumu projekta prasības.</w:t>
            </w:r>
          </w:p>
          <w:p w14:paraId="7FDE5294" w14:textId="6E6271EC" w:rsidR="006C3828" w:rsidRPr="00894D21" w:rsidRDefault="00F4369C" w:rsidP="00B917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Finanšu tirgus dalībnieku a</w:t>
            </w:r>
            <w:r w:rsidR="006C3828" w:rsidRPr="00894D21">
              <w:rPr>
                <w:rFonts w:ascii="Times New Roman" w:eastAsia="Times New Roman" w:hAnsi="Times New Roman" w:cs="Times New Roman"/>
                <w:sz w:val="24"/>
                <w:szCs w:val="24"/>
                <w:lang w:eastAsia="lv-LV"/>
              </w:rPr>
              <w:t xml:space="preserve">dministratīvās izmaksas precīzi nav aprēķināmas, jo </w:t>
            </w:r>
            <w:r>
              <w:rPr>
                <w:rFonts w:ascii="Times New Roman" w:eastAsia="Times New Roman" w:hAnsi="Times New Roman" w:cs="Times New Roman"/>
                <w:sz w:val="24"/>
                <w:szCs w:val="24"/>
                <w:lang w:eastAsia="lv-LV"/>
              </w:rPr>
              <w:t xml:space="preserve">tās </w:t>
            </w:r>
            <w:r w:rsidR="006C3828" w:rsidRPr="00894D21">
              <w:rPr>
                <w:rFonts w:ascii="Times New Roman" w:eastAsia="Times New Roman" w:hAnsi="Times New Roman" w:cs="Times New Roman"/>
                <w:sz w:val="24"/>
                <w:szCs w:val="24"/>
                <w:lang w:eastAsia="lv-LV"/>
              </w:rPr>
              <w:t>šajā gadījumā atkarīgas no vairākiem faktoriem, piemēram, no tā, vai noteikumu projektā ietverto prasību ieviešanai finanšu tirgus dalībnieks izmantos iekšējos vai ārējos resursus.</w:t>
            </w:r>
            <w:r w:rsidR="000F5E18" w:rsidRPr="00894D21">
              <w:rPr>
                <w:rFonts w:ascii="Times New Roman" w:eastAsia="Times New Roman" w:hAnsi="Times New Roman" w:cs="Times New Roman"/>
                <w:sz w:val="24"/>
                <w:szCs w:val="24"/>
                <w:lang w:eastAsia="lv-LV"/>
              </w:rPr>
              <w:t xml:space="preserve"> </w:t>
            </w:r>
            <w:r w:rsidR="005D36EC" w:rsidRPr="00894D21">
              <w:rPr>
                <w:rFonts w:ascii="Times New Roman" w:eastAsia="Times New Roman" w:hAnsi="Times New Roman" w:cs="Times New Roman"/>
                <w:sz w:val="24"/>
                <w:szCs w:val="24"/>
                <w:lang w:eastAsia="lv-LV"/>
              </w:rPr>
              <w:t>Tomēr ilgtermiņā admi</w:t>
            </w:r>
            <w:r w:rsidR="002C058B" w:rsidRPr="00894D21">
              <w:rPr>
                <w:rFonts w:ascii="Times New Roman" w:eastAsia="Times New Roman" w:hAnsi="Times New Roman" w:cs="Times New Roman"/>
                <w:sz w:val="24"/>
                <w:szCs w:val="24"/>
                <w:lang w:eastAsia="lv-LV"/>
              </w:rPr>
              <w:t xml:space="preserve">nistratīvais slogs un izmaksas </w:t>
            </w:r>
            <w:r w:rsidR="00500264">
              <w:rPr>
                <w:rFonts w:ascii="Times New Roman" w:eastAsia="Times New Roman" w:hAnsi="Times New Roman" w:cs="Times New Roman"/>
                <w:sz w:val="24"/>
                <w:szCs w:val="24"/>
                <w:lang w:eastAsia="lv-LV"/>
              </w:rPr>
              <w:t>nav paredzam</w:t>
            </w:r>
            <w:r>
              <w:rPr>
                <w:rFonts w:ascii="Times New Roman" w:eastAsia="Times New Roman" w:hAnsi="Times New Roman" w:cs="Times New Roman"/>
                <w:sz w:val="24"/>
                <w:szCs w:val="24"/>
                <w:lang w:eastAsia="lv-LV"/>
              </w:rPr>
              <w:t>as</w:t>
            </w:r>
            <w:r w:rsidR="00500264">
              <w:rPr>
                <w:rFonts w:ascii="Times New Roman" w:eastAsia="Times New Roman" w:hAnsi="Times New Roman" w:cs="Times New Roman"/>
                <w:sz w:val="24"/>
                <w:szCs w:val="24"/>
                <w:lang w:eastAsia="lv-LV"/>
              </w:rPr>
              <w:t xml:space="preserve">, jo </w:t>
            </w:r>
            <w:r w:rsidR="00500264" w:rsidRPr="00894D21">
              <w:rPr>
                <w:rFonts w:ascii="Times New Roman" w:eastAsia="Times New Roman" w:hAnsi="Times New Roman" w:cs="Times New Roman"/>
                <w:sz w:val="24"/>
                <w:szCs w:val="24"/>
                <w:lang w:eastAsia="lv-LV"/>
              </w:rPr>
              <w:t xml:space="preserve">noteikumu projekts neprasa </w:t>
            </w:r>
            <w:r w:rsidR="00500264">
              <w:rPr>
                <w:rFonts w:ascii="Times New Roman" w:eastAsia="Times New Roman" w:hAnsi="Times New Roman" w:cs="Times New Roman"/>
                <w:sz w:val="24"/>
                <w:szCs w:val="24"/>
                <w:lang w:eastAsia="lv-LV"/>
              </w:rPr>
              <w:t>apdrošināšanas sabiedrībām un dalībvalst</w:t>
            </w:r>
            <w:r w:rsidR="003B58DB">
              <w:rPr>
                <w:rFonts w:ascii="Times New Roman" w:eastAsia="Times New Roman" w:hAnsi="Times New Roman" w:cs="Times New Roman"/>
                <w:sz w:val="24"/>
                <w:szCs w:val="24"/>
                <w:lang w:eastAsia="lv-LV"/>
              </w:rPr>
              <w:t>s</w:t>
            </w:r>
            <w:r w:rsidR="00500264">
              <w:rPr>
                <w:rFonts w:ascii="Times New Roman" w:eastAsia="Times New Roman" w:hAnsi="Times New Roman" w:cs="Times New Roman"/>
                <w:sz w:val="24"/>
                <w:szCs w:val="24"/>
                <w:lang w:eastAsia="lv-LV"/>
              </w:rPr>
              <w:t xml:space="preserve"> apdrošinātāju filiālēm</w:t>
            </w:r>
            <w:r w:rsidR="00500264" w:rsidRPr="00894D21">
              <w:rPr>
                <w:rFonts w:ascii="Times New Roman" w:eastAsia="Times New Roman" w:hAnsi="Times New Roman" w:cs="Times New Roman"/>
                <w:sz w:val="24"/>
                <w:szCs w:val="24"/>
                <w:lang w:eastAsia="lv-LV"/>
              </w:rPr>
              <w:t xml:space="preserve"> ieviest jaunus procesus datu vākšanai un uzkrāšanai. </w:t>
            </w:r>
          </w:p>
        </w:tc>
      </w:tr>
      <w:tr w:rsidR="006C3828" w:rsidRPr="00894D21" w14:paraId="7C375F90" w14:textId="77777777" w:rsidTr="002B2146">
        <w:trPr>
          <w:trHeight w:val="567"/>
        </w:trPr>
        <w:tc>
          <w:tcPr>
            <w:tcW w:w="1014" w:type="pct"/>
            <w:shd w:val="clear" w:color="auto" w:fill="auto"/>
            <w:hideMark/>
          </w:tcPr>
          <w:p w14:paraId="636CB18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7E3550BE" w14:textId="637F123F" w:rsidR="00894D21" w:rsidRPr="00D53AC5" w:rsidRDefault="00894D21" w:rsidP="00B917A7">
            <w:p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Ar noteikumu projektu saistītie dokumenti:</w:t>
            </w:r>
          </w:p>
          <w:p w14:paraId="4235199F" w14:textId="58BF5D2D" w:rsidR="006A1E74" w:rsidRPr="00894D21" w:rsidRDefault="00901F92" w:rsidP="00B917A7">
            <w:pPr>
              <w:pStyle w:val="ListParagraph"/>
              <w:numPr>
                <w:ilvl w:val="0"/>
                <w:numId w:val="6"/>
              </w:numPr>
              <w:tabs>
                <w:tab w:val="left" w:pos="283"/>
              </w:tabs>
              <w:spacing w:after="0" w:line="240" w:lineRule="auto"/>
              <w:ind w:left="33" w:firstLine="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Apdrošināšanas un pārapdrošināšanas</w:t>
            </w:r>
            <w:r w:rsidR="006A1E74" w:rsidRPr="00894D21">
              <w:rPr>
                <w:rFonts w:ascii="Times New Roman" w:eastAsia="Times New Roman" w:hAnsi="Times New Roman" w:cs="Times New Roman"/>
                <w:sz w:val="24"/>
                <w:szCs w:val="24"/>
                <w:lang w:eastAsia="lv-LV"/>
              </w:rPr>
              <w:t xml:space="preserve"> likums;</w:t>
            </w:r>
          </w:p>
          <w:p w14:paraId="1F294DB4" w14:textId="56A2E674" w:rsidR="006A1E74" w:rsidRDefault="006A1E74" w:rsidP="00B917A7">
            <w:pPr>
              <w:pStyle w:val="ListParagraph"/>
              <w:numPr>
                <w:ilvl w:val="0"/>
                <w:numId w:val="6"/>
              </w:numPr>
              <w:tabs>
                <w:tab w:val="left" w:pos="283"/>
              </w:tabs>
              <w:spacing w:after="0" w:line="240" w:lineRule="auto"/>
              <w:ind w:left="33" w:firstLine="0"/>
              <w:jc w:val="both"/>
              <w:rPr>
                <w:rFonts w:ascii="Times New Roman" w:hAnsi="Times New Roman" w:cs="Times New Roman"/>
                <w:sz w:val="24"/>
                <w:szCs w:val="24"/>
              </w:rPr>
            </w:pPr>
            <w:r w:rsidRPr="00894D21">
              <w:rPr>
                <w:rFonts w:ascii="Times New Roman" w:hAnsi="Times New Roman" w:cs="Times New Roman"/>
                <w:sz w:val="24"/>
                <w:szCs w:val="24"/>
              </w:rPr>
              <w:t>Latvijas Bankas likums;</w:t>
            </w:r>
          </w:p>
          <w:p w14:paraId="4A5837B2" w14:textId="498C7537" w:rsidR="00901F92" w:rsidRPr="00901F92" w:rsidRDefault="00901F92" w:rsidP="00B917A7">
            <w:pPr>
              <w:pStyle w:val="ListParagraph"/>
              <w:numPr>
                <w:ilvl w:val="0"/>
                <w:numId w:val="6"/>
              </w:numPr>
              <w:tabs>
                <w:tab w:val="left" w:pos="283"/>
              </w:tabs>
              <w:spacing w:after="0" w:line="240" w:lineRule="auto"/>
              <w:ind w:left="33" w:firstLine="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w:t>
            </w:r>
            <w:r w:rsidRPr="00E9685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i</w:t>
            </w:r>
            <w:r w:rsidRPr="00E9685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228;</w:t>
            </w:r>
          </w:p>
          <w:p w14:paraId="37E58BF7" w14:textId="3EED659A" w:rsidR="00A06E04" w:rsidRPr="005D5FC5" w:rsidRDefault="00901F92" w:rsidP="00B917A7">
            <w:pPr>
              <w:pStyle w:val="ListParagraph"/>
              <w:numPr>
                <w:ilvl w:val="0"/>
                <w:numId w:val="6"/>
              </w:numPr>
              <w:tabs>
                <w:tab w:val="left" w:pos="283"/>
              </w:tabs>
              <w:spacing w:after="120" w:line="240" w:lineRule="auto"/>
              <w:ind w:left="34" w:firstLine="0"/>
              <w:jc w:val="both"/>
              <w:rPr>
                <w:rFonts w:ascii="Times New Roman" w:hAnsi="Times New Roman" w:cs="Times New Roman"/>
                <w:sz w:val="24"/>
                <w:szCs w:val="24"/>
              </w:rPr>
            </w:pPr>
            <w:r w:rsidRPr="00901F92">
              <w:rPr>
                <w:rFonts w:ascii="Times New Roman" w:hAnsi="Times New Roman" w:cs="Times New Roman"/>
                <w:sz w:val="24"/>
                <w:szCs w:val="24"/>
              </w:rPr>
              <w:t>Latvijas Bankas 2022.</w:t>
            </w:r>
            <w:r w:rsidR="00430209">
              <w:rPr>
                <w:rFonts w:ascii="Times New Roman" w:hAnsi="Times New Roman" w:cs="Times New Roman"/>
                <w:sz w:val="24"/>
                <w:szCs w:val="24"/>
              </w:rPr>
              <w:t> </w:t>
            </w:r>
            <w:r w:rsidRPr="00901F92">
              <w:rPr>
                <w:rFonts w:ascii="Times New Roman" w:hAnsi="Times New Roman" w:cs="Times New Roman"/>
                <w:sz w:val="24"/>
                <w:szCs w:val="24"/>
              </w:rPr>
              <w:t>gada 24.</w:t>
            </w:r>
            <w:r w:rsidR="00430209">
              <w:rPr>
                <w:rFonts w:ascii="Times New Roman" w:hAnsi="Times New Roman" w:cs="Times New Roman"/>
                <w:sz w:val="24"/>
                <w:szCs w:val="24"/>
              </w:rPr>
              <w:t> </w:t>
            </w:r>
            <w:r w:rsidRPr="00901F92">
              <w:rPr>
                <w:rFonts w:ascii="Times New Roman" w:hAnsi="Times New Roman" w:cs="Times New Roman"/>
                <w:sz w:val="24"/>
                <w:szCs w:val="24"/>
              </w:rPr>
              <w:t>oktobra noteikumi Nr.</w:t>
            </w:r>
            <w:r w:rsidR="00430209">
              <w:rPr>
                <w:rFonts w:ascii="Times New Roman" w:hAnsi="Times New Roman" w:cs="Times New Roman"/>
                <w:sz w:val="24"/>
                <w:szCs w:val="24"/>
              </w:rPr>
              <w:t> </w:t>
            </w:r>
            <w:r w:rsidRPr="00901F92">
              <w:rPr>
                <w:rFonts w:ascii="Times New Roman" w:hAnsi="Times New Roman" w:cs="Times New Roman"/>
                <w:sz w:val="24"/>
                <w:szCs w:val="24"/>
              </w:rPr>
              <w:t>226 "Noteikumi par elektronisko informācijas apmaiņu ar Latvijas Banku"</w:t>
            </w:r>
            <w:r>
              <w:rPr>
                <w:rFonts w:ascii="Times New Roman" w:hAnsi="Times New Roman" w:cs="Times New Roman"/>
                <w:sz w:val="24"/>
                <w:szCs w:val="24"/>
              </w:rPr>
              <w:t>.</w:t>
            </w:r>
          </w:p>
        </w:tc>
      </w:tr>
      <w:tr w:rsidR="006C3828" w:rsidRPr="00894D21" w14:paraId="40B6FA4E" w14:textId="77777777" w:rsidTr="002B2146">
        <w:trPr>
          <w:trHeight w:val="567"/>
        </w:trPr>
        <w:tc>
          <w:tcPr>
            <w:tcW w:w="1014" w:type="pct"/>
            <w:shd w:val="clear" w:color="auto" w:fill="auto"/>
            <w:hideMark/>
          </w:tcPr>
          <w:p w14:paraId="735A198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p w14:paraId="62929148"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2BDC6261" w14:textId="3CCFC56B"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2B2146">
        <w:trPr>
          <w:trHeight w:val="567"/>
        </w:trPr>
        <w:tc>
          <w:tcPr>
            <w:tcW w:w="1014" w:type="pct"/>
            <w:shd w:val="clear" w:color="auto" w:fill="auto"/>
            <w:hideMark/>
          </w:tcPr>
          <w:p w14:paraId="46AD5EB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7E8921A7" w14:textId="77777777" w:rsidR="00892104" w:rsidRDefault="00892104" w:rsidP="00892104">
            <w:pPr>
              <w:pStyle w:val="NormalWeb"/>
              <w:spacing w:before="0" w:beforeAutospacing="0" w:after="120" w:afterAutospacing="0"/>
              <w:jc w:val="both"/>
            </w:pPr>
            <w:r>
              <w:t>N</w:t>
            </w:r>
            <w:r w:rsidR="0080286F">
              <w:t xml:space="preserve">oteikumu projekts </w:t>
            </w:r>
            <w:r>
              <w:t xml:space="preserve">2024. gada 13. augustā </w:t>
            </w:r>
            <w:r w:rsidR="005D5FC5">
              <w:t>tik</w:t>
            </w:r>
            <w:r>
              <w:t>a</w:t>
            </w:r>
            <w:r w:rsidR="0080286F">
              <w:t xml:space="preserve"> publicēts Latvijas Bankas tīmekļvietnes </w:t>
            </w:r>
            <w:hyperlink r:id="rId15" w:tgtFrame="_blank" w:tooltip="http://www.bank.lv/" w:history="1">
              <w:r w:rsidR="0080286F">
                <w:rPr>
                  <w:rStyle w:val="Hyperlink"/>
                </w:rPr>
                <w:t>www.bank.lv</w:t>
              </w:r>
            </w:hyperlink>
            <w:r w:rsidR="0080286F">
              <w:t xml:space="preserve"> sadaļ</w:t>
            </w:r>
            <w:r w:rsidR="005C2733">
              <w:t xml:space="preserve">as "Tiesību akti" </w:t>
            </w:r>
            <w:proofErr w:type="spellStart"/>
            <w:r w:rsidR="005C2733">
              <w:t>apakšsadaļ</w:t>
            </w:r>
            <w:r w:rsidR="0080286F">
              <w:t>ā</w:t>
            </w:r>
            <w:proofErr w:type="spellEnd"/>
            <w:r w:rsidR="0080286F">
              <w:t xml:space="preserve"> "Sabiedrības līdzdalība", </w:t>
            </w:r>
            <w:r>
              <w:t xml:space="preserve">aicinot </w:t>
            </w:r>
            <w:r>
              <w:t xml:space="preserve">iesniegt priekšlikumus līdz 2024. gada 27. augustam. </w:t>
            </w:r>
          </w:p>
          <w:p w14:paraId="5EF12836" w14:textId="77777777" w:rsidR="005D5FC5" w:rsidRDefault="005D5FC5" w:rsidP="00892104">
            <w:pPr>
              <w:pStyle w:val="NormalWeb"/>
              <w:spacing w:before="0" w:beforeAutospacing="0" w:after="120" w:afterAutospacing="0"/>
              <w:jc w:val="both"/>
            </w:pPr>
            <w:r>
              <w:t>Vienlaikus par noteikumu projektu un notiekošo sabiedrības līdzdalību individuāli tik</w:t>
            </w:r>
            <w:r w:rsidR="00892104">
              <w:t>a</w:t>
            </w:r>
            <w:r>
              <w:t xml:space="preserve"> informēta Latvijas Apdrošinātāju asociācija</w:t>
            </w:r>
            <w:r w:rsidR="00892104">
              <w:t xml:space="preserve"> un visi apdrošinātāji.</w:t>
            </w:r>
          </w:p>
          <w:p w14:paraId="2CCCD760" w14:textId="7BF1959E" w:rsidR="00892104" w:rsidRPr="00894D21" w:rsidRDefault="00892104" w:rsidP="00892104">
            <w:pPr>
              <w:pStyle w:val="NormalWeb"/>
              <w:spacing w:before="0" w:beforeAutospacing="0" w:after="120" w:afterAutospacing="0"/>
              <w:jc w:val="both"/>
            </w:pPr>
            <w:r>
              <w:t>Pēc sabiedrības līdzdalībai noteiktā termiņa beigām noteikumu projekts tiks iesniegts izskatīšanai Latvijas Bankas  konsultatīvās finanšu tirgus padomes sēdē.</w:t>
            </w:r>
          </w:p>
        </w:tc>
      </w:tr>
      <w:tr w:rsidR="006C3828" w:rsidRPr="00894D21" w14:paraId="61D339D9" w14:textId="77777777" w:rsidTr="002B2146">
        <w:trPr>
          <w:trHeight w:val="567"/>
        </w:trPr>
        <w:tc>
          <w:tcPr>
            <w:tcW w:w="1014" w:type="pct"/>
            <w:shd w:val="clear" w:color="auto" w:fill="auto"/>
            <w:hideMark/>
          </w:tcPr>
          <w:p w14:paraId="4CB6397C"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Saskaņošanas rezultāti</w:t>
            </w:r>
          </w:p>
          <w:p w14:paraId="05C81DE5"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692F977B" w14:textId="0439128F" w:rsidR="005B5025" w:rsidRPr="00894D21" w:rsidRDefault="00892104" w:rsidP="00B917A7">
            <w:pPr>
              <w:pStyle w:val="NormalWeb"/>
              <w:spacing w:before="0" w:beforeAutospacing="0" w:after="120" w:afterAutospacing="0"/>
              <w:jc w:val="both"/>
            </w:pPr>
            <w:r>
              <w:rPr>
                <w:bCs/>
              </w:rPr>
              <w:t>S</w:t>
            </w:r>
            <w:r w:rsidR="005D5FC5" w:rsidRPr="00774CC3">
              <w:rPr>
                <w:bCs/>
              </w:rPr>
              <w:t xml:space="preserve">abiedrības līdzdalības </w:t>
            </w:r>
            <w:r>
              <w:rPr>
                <w:bCs/>
              </w:rPr>
              <w:t xml:space="preserve">rezultātā par noteikumu projektu netika </w:t>
            </w:r>
            <w:r w:rsidR="005D5FC5" w:rsidRPr="00774CC3">
              <w:rPr>
                <w:bCs/>
              </w:rPr>
              <w:t xml:space="preserve"> saņemt</w:t>
            </w:r>
            <w:r>
              <w:rPr>
                <w:bCs/>
              </w:rPr>
              <w:t>i</w:t>
            </w:r>
            <w:r w:rsidR="005D5FC5" w:rsidRPr="00774CC3">
              <w:rPr>
                <w:bCs/>
              </w:rPr>
              <w:t xml:space="preserve"> iebildum</w:t>
            </w:r>
            <w:r>
              <w:rPr>
                <w:bCs/>
              </w:rPr>
              <w:t xml:space="preserve">i vai </w:t>
            </w:r>
            <w:r w:rsidRPr="00774CC3">
              <w:rPr>
                <w:bCs/>
              </w:rPr>
              <w:t>priekšlikum</w:t>
            </w:r>
            <w:r>
              <w:rPr>
                <w:bCs/>
              </w:rPr>
              <w:t xml:space="preserve">i. </w:t>
            </w:r>
          </w:p>
        </w:tc>
      </w:tr>
    </w:tbl>
    <w:p w14:paraId="086EF7E5" w14:textId="77777777" w:rsidR="00A62B63" w:rsidRPr="0017269A" w:rsidRDefault="00A62B63" w:rsidP="00B917A7">
      <w:pPr>
        <w:spacing w:line="240" w:lineRule="auto"/>
      </w:pPr>
    </w:p>
    <w:sectPr w:rsidR="00A62B63" w:rsidRPr="0017269A" w:rsidSect="007159B5">
      <w:headerReference w:type="default" r:id="rId16"/>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F696A" w14:textId="77777777" w:rsidR="00BF1FBA" w:rsidRDefault="00BF1FBA" w:rsidP="006C3828">
      <w:pPr>
        <w:spacing w:after="0" w:line="240" w:lineRule="auto"/>
      </w:pPr>
      <w:r>
        <w:separator/>
      </w:r>
    </w:p>
  </w:endnote>
  <w:endnote w:type="continuationSeparator" w:id="0">
    <w:p w14:paraId="34D65E48" w14:textId="77777777" w:rsidR="00BF1FBA" w:rsidRDefault="00BF1FBA" w:rsidP="006C3828">
      <w:pPr>
        <w:spacing w:after="0" w:line="240" w:lineRule="auto"/>
      </w:pPr>
      <w:r>
        <w:continuationSeparator/>
      </w:r>
    </w:p>
  </w:endnote>
  <w:endnote w:type="continuationNotice" w:id="1">
    <w:p w14:paraId="534174E2" w14:textId="77777777" w:rsidR="00BF1FBA" w:rsidRDefault="00BF1F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44C0D" w14:textId="77777777" w:rsidR="00BF1FBA" w:rsidRDefault="00BF1FBA" w:rsidP="006C3828">
      <w:pPr>
        <w:spacing w:after="0" w:line="240" w:lineRule="auto"/>
      </w:pPr>
      <w:r>
        <w:separator/>
      </w:r>
    </w:p>
  </w:footnote>
  <w:footnote w:type="continuationSeparator" w:id="0">
    <w:p w14:paraId="14C51E86" w14:textId="77777777" w:rsidR="00BF1FBA" w:rsidRDefault="00BF1FBA" w:rsidP="006C3828">
      <w:pPr>
        <w:spacing w:after="0" w:line="240" w:lineRule="auto"/>
      </w:pPr>
      <w:r>
        <w:continuationSeparator/>
      </w:r>
    </w:p>
  </w:footnote>
  <w:footnote w:type="continuationNotice" w:id="1">
    <w:p w14:paraId="0ED4D7D6" w14:textId="77777777" w:rsidR="00BF1FBA" w:rsidRDefault="00BF1F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3565A"/>
    <w:multiLevelType w:val="hybridMultilevel"/>
    <w:tmpl w:val="0BDA1EFE"/>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3"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4"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297728"/>
    <w:multiLevelType w:val="hybridMultilevel"/>
    <w:tmpl w:val="36A833FC"/>
    <w:lvl w:ilvl="0" w:tplc="D4845FDA">
      <w:start w:val="1"/>
      <w:numFmt w:val="decimal"/>
      <w:lvlText w:val="%1."/>
      <w:lvlJc w:val="left"/>
      <w:pPr>
        <w:ind w:left="1440" w:hanging="360"/>
      </w:pPr>
    </w:lvl>
    <w:lvl w:ilvl="1" w:tplc="8FE00D8A">
      <w:start w:val="1"/>
      <w:numFmt w:val="decimal"/>
      <w:lvlText w:val="%2."/>
      <w:lvlJc w:val="left"/>
      <w:pPr>
        <w:ind w:left="1440" w:hanging="360"/>
      </w:pPr>
    </w:lvl>
    <w:lvl w:ilvl="2" w:tplc="C4EC3622">
      <w:start w:val="1"/>
      <w:numFmt w:val="decimal"/>
      <w:lvlText w:val="%3."/>
      <w:lvlJc w:val="left"/>
      <w:pPr>
        <w:ind w:left="1440" w:hanging="360"/>
      </w:pPr>
    </w:lvl>
    <w:lvl w:ilvl="3" w:tplc="488A677A">
      <w:start w:val="1"/>
      <w:numFmt w:val="decimal"/>
      <w:lvlText w:val="%4."/>
      <w:lvlJc w:val="left"/>
      <w:pPr>
        <w:ind w:left="1440" w:hanging="360"/>
      </w:pPr>
    </w:lvl>
    <w:lvl w:ilvl="4" w:tplc="3FFE6424">
      <w:start w:val="1"/>
      <w:numFmt w:val="decimal"/>
      <w:lvlText w:val="%5."/>
      <w:lvlJc w:val="left"/>
      <w:pPr>
        <w:ind w:left="1440" w:hanging="360"/>
      </w:pPr>
    </w:lvl>
    <w:lvl w:ilvl="5" w:tplc="484E2EBE">
      <w:start w:val="1"/>
      <w:numFmt w:val="decimal"/>
      <w:lvlText w:val="%6."/>
      <w:lvlJc w:val="left"/>
      <w:pPr>
        <w:ind w:left="1440" w:hanging="360"/>
      </w:pPr>
    </w:lvl>
    <w:lvl w:ilvl="6" w:tplc="BA0271DC">
      <w:start w:val="1"/>
      <w:numFmt w:val="decimal"/>
      <w:lvlText w:val="%7."/>
      <w:lvlJc w:val="left"/>
      <w:pPr>
        <w:ind w:left="1440" w:hanging="360"/>
      </w:pPr>
    </w:lvl>
    <w:lvl w:ilvl="7" w:tplc="712E4D94">
      <w:start w:val="1"/>
      <w:numFmt w:val="decimal"/>
      <w:lvlText w:val="%8."/>
      <w:lvlJc w:val="left"/>
      <w:pPr>
        <w:ind w:left="1440" w:hanging="360"/>
      </w:pPr>
    </w:lvl>
    <w:lvl w:ilvl="8" w:tplc="AC8C1538">
      <w:start w:val="1"/>
      <w:numFmt w:val="decimal"/>
      <w:lvlText w:val="%9."/>
      <w:lvlJc w:val="left"/>
      <w:pPr>
        <w:ind w:left="1440" w:hanging="360"/>
      </w:pPr>
    </w:lvl>
  </w:abstractNum>
  <w:abstractNum w:abstractNumId="6"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5117F9"/>
    <w:multiLevelType w:val="hybridMultilevel"/>
    <w:tmpl w:val="BC128D66"/>
    <w:lvl w:ilvl="0" w:tplc="13F0323C">
      <w:start w:val="1"/>
      <w:numFmt w:val="decimal"/>
      <w:lvlText w:val="%1."/>
      <w:lvlJc w:val="left"/>
      <w:pPr>
        <w:ind w:left="1440" w:hanging="360"/>
      </w:pPr>
    </w:lvl>
    <w:lvl w:ilvl="1" w:tplc="A67C5B80">
      <w:start w:val="1"/>
      <w:numFmt w:val="decimal"/>
      <w:lvlText w:val="%2."/>
      <w:lvlJc w:val="left"/>
      <w:pPr>
        <w:ind w:left="1440" w:hanging="360"/>
      </w:pPr>
    </w:lvl>
    <w:lvl w:ilvl="2" w:tplc="A54A8A12">
      <w:start w:val="1"/>
      <w:numFmt w:val="decimal"/>
      <w:lvlText w:val="%3."/>
      <w:lvlJc w:val="left"/>
      <w:pPr>
        <w:ind w:left="1440" w:hanging="360"/>
      </w:pPr>
    </w:lvl>
    <w:lvl w:ilvl="3" w:tplc="5CCEA13E">
      <w:start w:val="1"/>
      <w:numFmt w:val="decimal"/>
      <w:lvlText w:val="%4."/>
      <w:lvlJc w:val="left"/>
      <w:pPr>
        <w:ind w:left="1440" w:hanging="360"/>
      </w:pPr>
    </w:lvl>
    <w:lvl w:ilvl="4" w:tplc="3E5255D0">
      <w:start w:val="1"/>
      <w:numFmt w:val="decimal"/>
      <w:lvlText w:val="%5."/>
      <w:lvlJc w:val="left"/>
      <w:pPr>
        <w:ind w:left="1440" w:hanging="360"/>
      </w:pPr>
    </w:lvl>
    <w:lvl w:ilvl="5" w:tplc="83B2BA6A">
      <w:start w:val="1"/>
      <w:numFmt w:val="decimal"/>
      <w:lvlText w:val="%6."/>
      <w:lvlJc w:val="left"/>
      <w:pPr>
        <w:ind w:left="1440" w:hanging="360"/>
      </w:pPr>
    </w:lvl>
    <w:lvl w:ilvl="6" w:tplc="2ED4CFF8">
      <w:start w:val="1"/>
      <w:numFmt w:val="decimal"/>
      <w:lvlText w:val="%7."/>
      <w:lvlJc w:val="left"/>
      <w:pPr>
        <w:ind w:left="1440" w:hanging="360"/>
      </w:pPr>
    </w:lvl>
    <w:lvl w:ilvl="7" w:tplc="139E0F0A">
      <w:start w:val="1"/>
      <w:numFmt w:val="decimal"/>
      <w:lvlText w:val="%8."/>
      <w:lvlJc w:val="left"/>
      <w:pPr>
        <w:ind w:left="1440" w:hanging="360"/>
      </w:pPr>
    </w:lvl>
    <w:lvl w:ilvl="8" w:tplc="4830BF5A">
      <w:start w:val="1"/>
      <w:numFmt w:val="decimal"/>
      <w:lvlText w:val="%9."/>
      <w:lvlJc w:val="left"/>
      <w:pPr>
        <w:ind w:left="1440" w:hanging="360"/>
      </w:pPr>
    </w:lvl>
  </w:abstractNum>
  <w:abstractNum w:abstractNumId="8" w15:restartNumberingAfterBreak="0">
    <w:nsid w:val="2A565AFC"/>
    <w:multiLevelType w:val="hybridMultilevel"/>
    <w:tmpl w:val="95EC1FEA"/>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0"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2"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988287">
    <w:abstractNumId w:val="6"/>
  </w:num>
  <w:num w:numId="2" w16cid:durableId="66001806">
    <w:abstractNumId w:val="0"/>
  </w:num>
  <w:num w:numId="3" w16cid:durableId="1474834947">
    <w:abstractNumId w:val="12"/>
  </w:num>
  <w:num w:numId="4" w16cid:durableId="995378933">
    <w:abstractNumId w:val="11"/>
  </w:num>
  <w:num w:numId="5" w16cid:durableId="610938957">
    <w:abstractNumId w:val="2"/>
  </w:num>
  <w:num w:numId="6" w16cid:durableId="1992098003">
    <w:abstractNumId w:val="4"/>
  </w:num>
  <w:num w:numId="7" w16cid:durableId="1446123305">
    <w:abstractNumId w:val="9"/>
  </w:num>
  <w:num w:numId="8" w16cid:durableId="2020306951">
    <w:abstractNumId w:val="3"/>
  </w:num>
  <w:num w:numId="9" w16cid:durableId="536311884">
    <w:abstractNumId w:val="8"/>
  </w:num>
  <w:num w:numId="10" w16cid:durableId="1263997823">
    <w:abstractNumId w:val="7"/>
  </w:num>
  <w:num w:numId="11" w16cid:durableId="675426046">
    <w:abstractNumId w:val="1"/>
  </w:num>
  <w:num w:numId="12" w16cid:durableId="798692480">
    <w:abstractNumId w:val="5"/>
  </w:num>
  <w:num w:numId="13" w16cid:durableId="19571293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1B3C"/>
    <w:rsid w:val="00002BCB"/>
    <w:rsid w:val="000033A4"/>
    <w:rsid w:val="00005CBA"/>
    <w:rsid w:val="00007625"/>
    <w:rsid w:val="00011527"/>
    <w:rsid w:val="0001158A"/>
    <w:rsid w:val="00011E6A"/>
    <w:rsid w:val="000128D4"/>
    <w:rsid w:val="00013F7A"/>
    <w:rsid w:val="00015F04"/>
    <w:rsid w:val="00016559"/>
    <w:rsid w:val="00016CFF"/>
    <w:rsid w:val="00017EBF"/>
    <w:rsid w:val="00020E1E"/>
    <w:rsid w:val="00023D0D"/>
    <w:rsid w:val="00025657"/>
    <w:rsid w:val="00026C7F"/>
    <w:rsid w:val="00031030"/>
    <w:rsid w:val="0003113C"/>
    <w:rsid w:val="000346F9"/>
    <w:rsid w:val="00043BB1"/>
    <w:rsid w:val="00044039"/>
    <w:rsid w:val="000457D9"/>
    <w:rsid w:val="000460F0"/>
    <w:rsid w:val="00046130"/>
    <w:rsid w:val="00046B32"/>
    <w:rsid w:val="00051FF1"/>
    <w:rsid w:val="000546BD"/>
    <w:rsid w:val="00055599"/>
    <w:rsid w:val="000569F4"/>
    <w:rsid w:val="00056B91"/>
    <w:rsid w:val="0005752D"/>
    <w:rsid w:val="000651A4"/>
    <w:rsid w:val="000674E2"/>
    <w:rsid w:val="00070B88"/>
    <w:rsid w:val="00071E26"/>
    <w:rsid w:val="0007692E"/>
    <w:rsid w:val="00086723"/>
    <w:rsid w:val="000916EA"/>
    <w:rsid w:val="0009394F"/>
    <w:rsid w:val="000A1E24"/>
    <w:rsid w:val="000A2BA1"/>
    <w:rsid w:val="000B0981"/>
    <w:rsid w:val="000B20A8"/>
    <w:rsid w:val="000B6C81"/>
    <w:rsid w:val="000C0126"/>
    <w:rsid w:val="000C0D4C"/>
    <w:rsid w:val="000C158C"/>
    <w:rsid w:val="000C2B69"/>
    <w:rsid w:val="000D4CBC"/>
    <w:rsid w:val="000D77DE"/>
    <w:rsid w:val="000E0577"/>
    <w:rsid w:val="000E346A"/>
    <w:rsid w:val="000E3AFF"/>
    <w:rsid w:val="000E4A51"/>
    <w:rsid w:val="000E7B66"/>
    <w:rsid w:val="000F0ED6"/>
    <w:rsid w:val="000F3ABE"/>
    <w:rsid w:val="000F4375"/>
    <w:rsid w:val="000F5E18"/>
    <w:rsid w:val="000F7131"/>
    <w:rsid w:val="000F7294"/>
    <w:rsid w:val="000F7307"/>
    <w:rsid w:val="00100870"/>
    <w:rsid w:val="00100B55"/>
    <w:rsid w:val="0010366B"/>
    <w:rsid w:val="001038B2"/>
    <w:rsid w:val="00105FBE"/>
    <w:rsid w:val="0011062E"/>
    <w:rsid w:val="00110D41"/>
    <w:rsid w:val="001120C9"/>
    <w:rsid w:val="00114B2A"/>
    <w:rsid w:val="00123B5A"/>
    <w:rsid w:val="00131096"/>
    <w:rsid w:val="00132833"/>
    <w:rsid w:val="00133AA4"/>
    <w:rsid w:val="00133DD1"/>
    <w:rsid w:val="00141AB9"/>
    <w:rsid w:val="0015034B"/>
    <w:rsid w:val="00150902"/>
    <w:rsid w:val="00155273"/>
    <w:rsid w:val="00160409"/>
    <w:rsid w:val="0016071E"/>
    <w:rsid w:val="00160F67"/>
    <w:rsid w:val="0017269A"/>
    <w:rsid w:val="00172B56"/>
    <w:rsid w:val="00193502"/>
    <w:rsid w:val="001A0DD7"/>
    <w:rsid w:val="001B08A2"/>
    <w:rsid w:val="001B4086"/>
    <w:rsid w:val="001B6287"/>
    <w:rsid w:val="001B7557"/>
    <w:rsid w:val="001C4B26"/>
    <w:rsid w:val="001C51F0"/>
    <w:rsid w:val="001C6278"/>
    <w:rsid w:val="001D0A40"/>
    <w:rsid w:val="001D15F6"/>
    <w:rsid w:val="001D3420"/>
    <w:rsid w:val="001E2E7A"/>
    <w:rsid w:val="001E3896"/>
    <w:rsid w:val="001E5AFF"/>
    <w:rsid w:val="001E718D"/>
    <w:rsid w:val="001E7AF1"/>
    <w:rsid w:val="001E7E15"/>
    <w:rsid w:val="001F069D"/>
    <w:rsid w:val="001F4690"/>
    <w:rsid w:val="001F55A2"/>
    <w:rsid w:val="001F5D03"/>
    <w:rsid w:val="001F6F78"/>
    <w:rsid w:val="00201593"/>
    <w:rsid w:val="00202AFF"/>
    <w:rsid w:val="00203426"/>
    <w:rsid w:val="00207DA3"/>
    <w:rsid w:val="002134DD"/>
    <w:rsid w:val="0021534E"/>
    <w:rsid w:val="002204A1"/>
    <w:rsid w:val="00220CBD"/>
    <w:rsid w:val="0022224A"/>
    <w:rsid w:val="00226480"/>
    <w:rsid w:val="00227386"/>
    <w:rsid w:val="0023330A"/>
    <w:rsid w:val="002359D1"/>
    <w:rsid w:val="00237A0A"/>
    <w:rsid w:val="002452DB"/>
    <w:rsid w:val="00245C21"/>
    <w:rsid w:val="00246E1F"/>
    <w:rsid w:val="002522C7"/>
    <w:rsid w:val="00253E4A"/>
    <w:rsid w:val="00257CA0"/>
    <w:rsid w:val="00260E91"/>
    <w:rsid w:val="00261400"/>
    <w:rsid w:val="00262330"/>
    <w:rsid w:val="00262863"/>
    <w:rsid w:val="00262981"/>
    <w:rsid w:val="00264914"/>
    <w:rsid w:val="00276C94"/>
    <w:rsid w:val="002821EA"/>
    <w:rsid w:val="00284D38"/>
    <w:rsid w:val="002855C4"/>
    <w:rsid w:val="002866A5"/>
    <w:rsid w:val="00286B90"/>
    <w:rsid w:val="0028721D"/>
    <w:rsid w:val="00296A1E"/>
    <w:rsid w:val="00296D06"/>
    <w:rsid w:val="00297444"/>
    <w:rsid w:val="002A59C8"/>
    <w:rsid w:val="002A7D54"/>
    <w:rsid w:val="002B2146"/>
    <w:rsid w:val="002B382B"/>
    <w:rsid w:val="002B3947"/>
    <w:rsid w:val="002C058B"/>
    <w:rsid w:val="002C0712"/>
    <w:rsid w:val="002C10BB"/>
    <w:rsid w:val="002C2A7E"/>
    <w:rsid w:val="002C3E3C"/>
    <w:rsid w:val="002C409A"/>
    <w:rsid w:val="002C6211"/>
    <w:rsid w:val="002D17C7"/>
    <w:rsid w:val="002D62BB"/>
    <w:rsid w:val="002D7927"/>
    <w:rsid w:val="002E2076"/>
    <w:rsid w:val="002E6B3F"/>
    <w:rsid w:val="002F30E4"/>
    <w:rsid w:val="002F607C"/>
    <w:rsid w:val="002F6857"/>
    <w:rsid w:val="002F77FB"/>
    <w:rsid w:val="003010D6"/>
    <w:rsid w:val="00306230"/>
    <w:rsid w:val="00306672"/>
    <w:rsid w:val="00306D39"/>
    <w:rsid w:val="00310EDD"/>
    <w:rsid w:val="003134F1"/>
    <w:rsid w:val="003231B3"/>
    <w:rsid w:val="00326362"/>
    <w:rsid w:val="00331BC3"/>
    <w:rsid w:val="0033661A"/>
    <w:rsid w:val="00341646"/>
    <w:rsid w:val="00342AF3"/>
    <w:rsid w:val="003447BE"/>
    <w:rsid w:val="0035787E"/>
    <w:rsid w:val="00361CD6"/>
    <w:rsid w:val="00364619"/>
    <w:rsid w:val="003659BD"/>
    <w:rsid w:val="00366E75"/>
    <w:rsid w:val="00370DA6"/>
    <w:rsid w:val="00374AC8"/>
    <w:rsid w:val="00375D09"/>
    <w:rsid w:val="00376741"/>
    <w:rsid w:val="00377480"/>
    <w:rsid w:val="0038189C"/>
    <w:rsid w:val="00382072"/>
    <w:rsid w:val="00385989"/>
    <w:rsid w:val="00386D44"/>
    <w:rsid w:val="00393061"/>
    <w:rsid w:val="003930E2"/>
    <w:rsid w:val="003978C0"/>
    <w:rsid w:val="003A1DB0"/>
    <w:rsid w:val="003A3DAC"/>
    <w:rsid w:val="003A5B12"/>
    <w:rsid w:val="003A6361"/>
    <w:rsid w:val="003B25C0"/>
    <w:rsid w:val="003B58DB"/>
    <w:rsid w:val="003C08FF"/>
    <w:rsid w:val="003C3E41"/>
    <w:rsid w:val="003C653B"/>
    <w:rsid w:val="003D2EFB"/>
    <w:rsid w:val="003D5703"/>
    <w:rsid w:val="003D6EDD"/>
    <w:rsid w:val="003E190B"/>
    <w:rsid w:val="003E7A38"/>
    <w:rsid w:val="003F3117"/>
    <w:rsid w:val="003F4CCA"/>
    <w:rsid w:val="003F511D"/>
    <w:rsid w:val="003F6C76"/>
    <w:rsid w:val="003F7A1F"/>
    <w:rsid w:val="00406646"/>
    <w:rsid w:val="004069D7"/>
    <w:rsid w:val="00415E32"/>
    <w:rsid w:val="00415F0F"/>
    <w:rsid w:val="004228C1"/>
    <w:rsid w:val="00424089"/>
    <w:rsid w:val="00425111"/>
    <w:rsid w:val="00427EFC"/>
    <w:rsid w:val="00430209"/>
    <w:rsid w:val="00440995"/>
    <w:rsid w:val="004457B0"/>
    <w:rsid w:val="00447D0E"/>
    <w:rsid w:val="0045291E"/>
    <w:rsid w:val="0045317F"/>
    <w:rsid w:val="00453F22"/>
    <w:rsid w:val="004544FD"/>
    <w:rsid w:val="004607F0"/>
    <w:rsid w:val="00460E2E"/>
    <w:rsid w:val="004712F1"/>
    <w:rsid w:val="0047310B"/>
    <w:rsid w:val="00480201"/>
    <w:rsid w:val="00483980"/>
    <w:rsid w:val="00484BD5"/>
    <w:rsid w:val="00484CFB"/>
    <w:rsid w:val="0048525E"/>
    <w:rsid w:val="004920FA"/>
    <w:rsid w:val="00492A77"/>
    <w:rsid w:val="00496BCF"/>
    <w:rsid w:val="00497C64"/>
    <w:rsid w:val="004A1DC3"/>
    <w:rsid w:val="004A2553"/>
    <w:rsid w:val="004B1143"/>
    <w:rsid w:val="004B2B86"/>
    <w:rsid w:val="004B6031"/>
    <w:rsid w:val="004B6CA7"/>
    <w:rsid w:val="004C112D"/>
    <w:rsid w:val="004C233F"/>
    <w:rsid w:val="004C2AB3"/>
    <w:rsid w:val="004C4E47"/>
    <w:rsid w:val="004C5F77"/>
    <w:rsid w:val="004D0490"/>
    <w:rsid w:val="004D25FC"/>
    <w:rsid w:val="004D40FF"/>
    <w:rsid w:val="004D5195"/>
    <w:rsid w:val="004D5704"/>
    <w:rsid w:val="004E6BCE"/>
    <w:rsid w:val="004F01AD"/>
    <w:rsid w:val="004F02A7"/>
    <w:rsid w:val="004F3EC2"/>
    <w:rsid w:val="004F5B9C"/>
    <w:rsid w:val="004F7AA5"/>
    <w:rsid w:val="00500264"/>
    <w:rsid w:val="005005A6"/>
    <w:rsid w:val="00500796"/>
    <w:rsid w:val="005068F9"/>
    <w:rsid w:val="005079B0"/>
    <w:rsid w:val="00511299"/>
    <w:rsid w:val="005167A1"/>
    <w:rsid w:val="00516ADD"/>
    <w:rsid w:val="00517E8B"/>
    <w:rsid w:val="0052442B"/>
    <w:rsid w:val="00526DB7"/>
    <w:rsid w:val="005274E9"/>
    <w:rsid w:val="00530FE0"/>
    <w:rsid w:val="005329F4"/>
    <w:rsid w:val="005333C9"/>
    <w:rsid w:val="00533B01"/>
    <w:rsid w:val="00533B50"/>
    <w:rsid w:val="00535960"/>
    <w:rsid w:val="00541ECF"/>
    <w:rsid w:val="00544848"/>
    <w:rsid w:val="00545CC7"/>
    <w:rsid w:val="0055074B"/>
    <w:rsid w:val="0055241A"/>
    <w:rsid w:val="00554136"/>
    <w:rsid w:val="005554D7"/>
    <w:rsid w:val="00556D06"/>
    <w:rsid w:val="005619C0"/>
    <w:rsid w:val="00561BA6"/>
    <w:rsid w:val="00561E86"/>
    <w:rsid w:val="00563287"/>
    <w:rsid w:val="00567A9C"/>
    <w:rsid w:val="00570818"/>
    <w:rsid w:val="00581381"/>
    <w:rsid w:val="00583F25"/>
    <w:rsid w:val="0058754A"/>
    <w:rsid w:val="00591CBF"/>
    <w:rsid w:val="005970F5"/>
    <w:rsid w:val="005A4392"/>
    <w:rsid w:val="005A4DDD"/>
    <w:rsid w:val="005B26BA"/>
    <w:rsid w:val="005B36FC"/>
    <w:rsid w:val="005B5025"/>
    <w:rsid w:val="005B533C"/>
    <w:rsid w:val="005C2733"/>
    <w:rsid w:val="005D0D05"/>
    <w:rsid w:val="005D36EC"/>
    <w:rsid w:val="005D5FC5"/>
    <w:rsid w:val="005D6FC6"/>
    <w:rsid w:val="005D793C"/>
    <w:rsid w:val="005E1DBA"/>
    <w:rsid w:val="005E2A59"/>
    <w:rsid w:val="005E3382"/>
    <w:rsid w:val="005E3DF1"/>
    <w:rsid w:val="005F0919"/>
    <w:rsid w:val="005F10BB"/>
    <w:rsid w:val="005F4ECC"/>
    <w:rsid w:val="005F660A"/>
    <w:rsid w:val="005F67CC"/>
    <w:rsid w:val="005F7915"/>
    <w:rsid w:val="006055D6"/>
    <w:rsid w:val="006064AD"/>
    <w:rsid w:val="0061086B"/>
    <w:rsid w:val="006114CB"/>
    <w:rsid w:val="00613D58"/>
    <w:rsid w:val="00616C86"/>
    <w:rsid w:val="00616F84"/>
    <w:rsid w:val="006170AC"/>
    <w:rsid w:val="006218CC"/>
    <w:rsid w:val="00621F4F"/>
    <w:rsid w:val="00624231"/>
    <w:rsid w:val="006248DB"/>
    <w:rsid w:val="00631E97"/>
    <w:rsid w:val="00634938"/>
    <w:rsid w:val="0063542F"/>
    <w:rsid w:val="00643F90"/>
    <w:rsid w:val="00646AD1"/>
    <w:rsid w:val="0065104E"/>
    <w:rsid w:val="006570A1"/>
    <w:rsid w:val="00660A87"/>
    <w:rsid w:val="00660BB1"/>
    <w:rsid w:val="00660F6C"/>
    <w:rsid w:val="00661EC6"/>
    <w:rsid w:val="00662AB8"/>
    <w:rsid w:val="00664457"/>
    <w:rsid w:val="00664E5A"/>
    <w:rsid w:val="006676B9"/>
    <w:rsid w:val="00671872"/>
    <w:rsid w:val="00680242"/>
    <w:rsid w:val="00680366"/>
    <w:rsid w:val="00682971"/>
    <w:rsid w:val="0068362A"/>
    <w:rsid w:val="00684C6F"/>
    <w:rsid w:val="00685523"/>
    <w:rsid w:val="00687FD4"/>
    <w:rsid w:val="00690481"/>
    <w:rsid w:val="0069208D"/>
    <w:rsid w:val="006A1E74"/>
    <w:rsid w:val="006A2A11"/>
    <w:rsid w:val="006A4A2E"/>
    <w:rsid w:val="006A4D71"/>
    <w:rsid w:val="006B2A55"/>
    <w:rsid w:val="006B3421"/>
    <w:rsid w:val="006B461C"/>
    <w:rsid w:val="006B4F70"/>
    <w:rsid w:val="006C0E01"/>
    <w:rsid w:val="006C3828"/>
    <w:rsid w:val="006C429D"/>
    <w:rsid w:val="006C4E15"/>
    <w:rsid w:val="006C5842"/>
    <w:rsid w:val="006C72AD"/>
    <w:rsid w:val="006D0296"/>
    <w:rsid w:val="006D0D37"/>
    <w:rsid w:val="006D1B49"/>
    <w:rsid w:val="006D20A2"/>
    <w:rsid w:val="006D2A84"/>
    <w:rsid w:val="006D5A35"/>
    <w:rsid w:val="006D76DA"/>
    <w:rsid w:val="006E1822"/>
    <w:rsid w:val="006F7B9A"/>
    <w:rsid w:val="007021CC"/>
    <w:rsid w:val="0070233B"/>
    <w:rsid w:val="0071033A"/>
    <w:rsid w:val="007159B5"/>
    <w:rsid w:val="007218F1"/>
    <w:rsid w:val="007223D9"/>
    <w:rsid w:val="00722DEF"/>
    <w:rsid w:val="0072523C"/>
    <w:rsid w:val="00732243"/>
    <w:rsid w:val="007357DC"/>
    <w:rsid w:val="00737E9C"/>
    <w:rsid w:val="00740596"/>
    <w:rsid w:val="00742F43"/>
    <w:rsid w:val="00745442"/>
    <w:rsid w:val="00746B48"/>
    <w:rsid w:val="007471E3"/>
    <w:rsid w:val="0074791A"/>
    <w:rsid w:val="00751877"/>
    <w:rsid w:val="0075531E"/>
    <w:rsid w:val="00757B75"/>
    <w:rsid w:val="007620BC"/>
    <w:rsid w:val="007676EA"/>
    <w:rsid w:val="00767878"/>
    <w:rsid w:val="007729C2"/>
    <w:rsid w:val="00773EED"/>
    <w:rsid w:val="007816B1"/>
    <w:rsid w:val="00781A3E"/>
    <w:rsid w:val="00790887"/>
    <w:rsid w:val="00792ADE"/>
    <w:rsid w:val="00794470"/>
    <w:rsid w:val="00794EAF"/>
    <w:rsid w:val="0079577C"/>
    <w:rsid w:val="00796745"/>
    <w:rsid w:val="007B13FC"/>
    <w:rsid w:val="007B15A3"/>
    <w:rsid w:val="007B1B00"/>
    <w:rsid w:val="007B2A2B"/>
    <w:rsid w:val="007B315A"/>
    <w:rsid w:val="007B49FC"/>
    <w:rsid w:val="007B75B9"/>
    <w:rsid w:val="007B7B16"/>
    <w:rsid w:val="007B7C21"/>
    <w:rsid w:val="007C300A"/>
    <w:rsid w:val="007C5300"/>
    <w:rsid w:val="007C7D57"/>
    <w:rsid w:val="007D1EBF"/>
    <w:rsid w:val="007D3112"/>
    <w:rsid w:val="007D4BE3"/>
    <w:rsid w:val="007E0362"/>
    <w:rsid w:val="007E0BD3"/>
    <w:rsid w:val="007E125A"/>
    <w:rsid w:val="007E378B"/>
    <w:rsid w:val="007E3AB6"/>
    <w:rsid w:val="007E4051"/>
    <w:rsid w:val="007E452C"/>
    <w:rsid w:val="007E520B"/>
    <w:rsid w:val="007F1630"/>
    <w:rsid w:val="007F1C0E"/>
    <w:rsid w:val="007F1C71"/>
    <w:rsid w:val="007F2955"/>
    <w:rsid w:val="007F2988"/>
    <w:rsid w:val="007F4D10"/>
    <w:rsid w:val="007F72B4"/>
    <w:rsid w:val="008014BA"/>
    <w:rsid w:val="0080286F"/>
    <w:rsid w:val="00804C24"/>
    <w:rsid w:val="00812050"/>
    <w:rsid w:val="008141E0"/>
    <w:rsid w:val="008154C6"/>
    <w:rsid w:val="00817DDC"/>
    <w:rsid w:val="00821EA1"/>
    <w:rsid w:val="0082342F"/>
    <w:rsid w:val="0082704A"/>
    <w:rsid w:val="00830973"/>
    <w:rsid w:val="00830C70"/>
    <w:rsid w:val="00831F05"/>
    <w:rsid w:val="008342B7"/>
    <w:rsid w:val="008347DA"/>
    <w:rsid w:val="0083648E"/>
    <w:rsid w:val="00841A2A"/>
    <w:rsid w:val="00842DAA"/>
    <w:rsid w:val="008433D4"/>
    <w:rsid w:val="0084689E"/>
    <w:rsid w:val="00854255"/>
    <w:rsid w:val="0086087C"/>
    <w:rsid w:val="00861FCB"/>
    <w:rsid w:val="0086200A"/>
    <w:rsid w:val="0086312A"/>
    <w:rsid w:val="00863C7B"/>
    <w:rsid w:val="008730EE"/>
    <w:rsid w:val="00873448"/>
    <w:rsid w:val="00875D2F"/>
    <w:rsid w:val="008778BB"/>
    <w:rsid w:val="00880843"/>
    <w:rsid w:val="0088143D"/>
    <w:rsid w:val="00881F26"/>
    <w:rsid w:val="00882212"/>
    <w:rsid w:val="00882736"/>
    <w:rsid w:val="00883EEF"/>
    <w:rsid w:val="00887CBC"/>
    <w:rsid w:val="00890829"/>
    <w:rsid w:val="00892104"/>
    <w:rsid w:val="008929B8"/>
    <w:rsid w:val="00894480"/>
    <w:rsid w:val="00894D21"/>
    <w:rsid w:val="00895104"/>
    <w:rsid w:val="00896DBD"/>
    <w:rsid w:val="00897948"/>
    <w:rsid w:val="00897A62"/>
    <w:rsid w:val="00897C92"/>
    <w:rsid w:val="008A3468"/>
    <w:rsid w:val="008A3794"/>
    <w:rsid w:val="008A5438"/>
    <w:rsid w:val="008B0683"/>
    <w:rsid w:val="008B090E"/>
    <w:rsid w:val="008B1929"/>
    <w:rsid w:val="008B2848"/>
    <w:rsid w:val="008B3C23"/>
    <w:rsid w:val="008B702A"/>
    <w:rsid w:val="008C0BD7"/>
    <w:rsid w:val="008C6EEC"/>
    <w:rsid w:val="008D0877"/>
    <w:rsid w:val="008D0C1B"/>
    <w:rsid w:val="008D0DC2"/>
    <w:rsid w:val="008D58BD"/>
    <w:rsid w:val="008E1212"/>
    <w:rsid w:val="008F1372"/>
    <w:rsid w:val="008F729E"/>
    <w:rsid w:val="00901061"/>
    <w:rsid w:val="0090117F"/>
    <w:rsid w:val="00901F92"/>
    <w:rsid w:val="0090232B"/>
    <w:rsid w:val="00907E79"/>
    <w:rsid w:val="00916EC1"/>
    <w:rsid w:val="00921630"/>
    <w:rsid w:val="0092266E"/>
    <w:rsid w:val="009226BF"/>
    <w:rsid w:val="00922B4A"/>
    <w:rsid w:val="0093282C"/>
    <w:rsid w:val="00933239"/>
    <w:rsid w:val="00950FBD"/>
    <w:rsid w:val="00951C31"/>
    <w:rsid w:val="00954C36"/>
    <w:rsid w:val="00955419"/>
    <w:rsid w:val="009607EA"/>
    <w:rsid w:val="0096545F"/>
    <w:rsid w:val="00965525"/>
    <w:rsid w:val="00972EE3"/>
    <w:rsid w:val="00974CF6"/>
    <w:rsid w:val="0097512B"/>
    <w:rsid w:val="00975C81"/>
    <w:rsid w:val="0098107B"/>
    <w:rsid w:val="0098127D"/>
    <w:rsid w:val="009844DE"/>
    <w:rsid w:val="00986340"/>
    <w:rsid w:val="00987457"/>
    <w:rsid w:val="0099023D"/>
    <w:rsid w:val="00990C7D"/>
    <w:rsid w:val="00993856"/>
    <w:rsid w:val="00993A38"/>
    <w:rsid w:val="009A1427"/>
    <w:rsid w:val="009A2505"/>
    <w:rsid w:val="009A27C5"/>
    <w:rsid w:val="009A6917"/>
    <w:rsid w:val="009B1E0B"/>
    <w:rsid w:val="009C3E75"/>
    <w:rsid w:val="009D0104"/>
    <w:rsid w:val="009D13B7"/>
    <w:rsid w:val="009D2D30"/>
    <w:rsid w:val="009D4488"/>
    <w:rsid w:val="009D787C"/>
    <w:rsid w:val="009D799F"/>
    <w:rsid w:val="009E0BDF"/>
    <w:rsid w:val="009E3C28"/>
    <w:rsid w:val="009E4874"/>
    <w:rsid w:val="009E69DC"/>
    <w:rsid w:val="009E7B0E"/>
    <w:rsid w:val="009F4C41"/>
    <w:rsid w:val="009F4DED"/>
    <w:rsid w:val="009F58E5"/>
    <w:rsid w:val="00A02D03"/>
    <w:rsid w:val="00A031C6"/>
    <w:rsid w:val="00A0462E"/>
    <w:rsid w:val="00A04E33"/>
    <w:rsid w:val="00A06E04"/>
    <w:rsid w:val="00A07E5B"/>
    <w:rsid w:val="00A07F57"/>
    <w:rsid w:val="00A11613"/>
    <w:rsid w:val="00A222EC"/>
    <w:rsid w:val="00A32EF9"/>
    <w:rsid w:val="00A35B78"/>
    <w:rsid w:val="00A35C14"/>
    <w:rsid w:val="00A37114"/>
    <w:rsid w:val="00A372E9"/>
    <w:rsid w:val="00A413F5"/>
    <w:rsid w:val="00A428D2"/>
    <w:rsid w:val="00A443D9"/>
    <w:rsid w:val="00A44A82"/>
    <w:rsid w:val="00A4569C"/>
    <w:rsid w:val="00A47E75"/>
    <w:rsid w:val="00A47EB1"/>
    <w:rsid w:val="00A50F6C"/>
    <w:rsid w:val="00A54733"/>
    <w:rsid w:val="00A56648"/>
    <w:rsid w:val="00A62B63"/>
    <w:rsid w:val="00A64349"/>
    <w:rsid w:val="00A66566"/>
    <w:rsid w:val="00A66EEF"/>
    <w:rsid w:val="00A673F4"/>
    <w:rsid w:val="00A7604B"/>
    <w:rsid w:val="00A8548C"/>
    <w:rsid w:val="00A90189"/>
    <w:rsid w:val="00A90BD4"/>
    <w:rsid w:val="00A968A4"/>
    <w:rsid w:val="00AA2BB5"/>
    <w:rsid w:val="00AA2F5E"/>
    <w:rsid w:val="00AA5A84"/>
    <w:rsid w:val="00AA5AB1"/>
    <w:rsid w:val="00AA6DCC"/>
    <w:rsid w:val="00AB25B1"/>
    <w:rsid w:val="00AB55C6"/>
    <w:rsid w:val="00AB66B0"/>
    <w:rsid w:val="00AB6738"/>
    <w:rsid w:val="00AB7167"/>
    <w:rsid w:val="00AC1A75"/>
    <w:rsid w:val="00AC1D96"/>
    <w:rsid w:val="00AC4761"/>
    <w:rsid w:val="00AD0DA2"/>
    <w:rsid w:val="00AD42FC"/>
    <w:rsid w:val="00AD5BE6"/>
    <w:rsid w:val="00AD6B42"/>
    <w:rsid w:val="00AD79E6"/>
    <w:rsid w:val="00AE07C5"/>
    <w:rsid w:val="00AE1720"/>
    <w:rsid w:val="00AE23F3"/>
    <w:rsid w:val="00AE4F02"/>
    <w:rsid w:val="00AE52D9"/>
    <w:rsid w:val="00AF1013"/>
    <w:rsid w:val="00B00C35"/>
    <w:rsid w:val="00B01DB0"/>
    <w:rsid w:val="00B0470C"/>
    <w:rsid w:val="00B1460F"/>
    <w:rsid w:val="00B203C0"/>
    <w:rsid w:val="00B25316"/>
    <w:rsid w:val="00B25C30"/>
    <w:rsid w:val="00B25E9A"/>
    <w:rsid w:val="00B26309"/>
    <w:rsid w:val="00B26CA2"/>
    <w:rsid w:val="00B2773A"/>
    <w:rsid w:val="00B32147"/>
    <w:rsid w:val="00B36448"/>
    <w:rsid w:val="00B37735"/>
    <w:rsid w:val="00B37F0C"/>
    <w:rsid w:val="00B45014"/>
    <w:rsid w:val="00B52652"/>
    <w:rsid w:val="00B538D8"/>
    <w:rsid w:val="00B55483"/>
    <w:rsid w:val="00B60307"/>
    <w:rsid w:val="00B609BE"/>
    <w:rsid w:val="00B62977"/>
    <w:rsid w:val="00B634A0"/>
    <w:rsid w:val="00B71A08"/>
    <w:rsid w:val="00B71E28"/>
    <w:rsid w:val="00B73FB5"/>
    <w:rsid w:val="00B76CDA"/>
    <w:rsid w:val="00B77A4B"/>
    <w:rsid w:val="00B823AC"/>
    <w:rsid w:val="00B86268"/>
    <w:rsid w:val="00B8646A"/>
    <w:rsid w:val="00B87348"/>
    <w:rsid w:val="00B917A7"/>
    <w:rsid w:val="00BA158A"/>
    <w:rsid w:val="00BA3DDB"/>
    <w:rsid w:val="00BA6414"/>
    <w:rsid w:val="00BA7271"/>
    <w:rsid w:val="00BA7799"/>
    <w:rsid w:val="00BA7EB2"/>
    <w:rsid w:val="00BB4163"/>
    <w:rsid w:val="00BB43FE"/>
    <w:rsid w:val="00BB4736"/>
    <w:rsid w:val="00BC41FD"/>
    <w:rsid w:val="00BD03CC"/>
    <w:rsid w:val="00BD24BE"/>
    <w:rsid w:val="00BD4DF2"/>
    <w:rsid w:val="00BD6060"/>
    <w:rsid w:val="00BE026C"/>
    <w:rsid w:val="00BE1575"/>
    <w:rsid w:val="00BF1FBA"/>
    <w:rsid w:val="00BF3363"/>
    <w:rsid w:val="00BF37CB"/>
    <w:rsid w:val="00BF3F58"/>
    <w:rsid w:val="00C00109"/>
    <w:rsid w:val="00C00A0B"/>
    <w:rsid w:val="00C027EF"/>
    <w:rsid w:val="00C03D36"/>
    <w:rsid w:val="00C05B30"/>
    <w:rsid w:val="00C067BE"/>
    <w:rsid w:val="00C06FB6"/>
    <w:rsid w:val="00C071E2"/>
    <w:rsid w:val="00C07E3E"/>
    <w:rsid w:val="00C100BE"/>
    <w:rsid w:val="00C107CB"/>
    <w:rsid w:val="00C15D72"/>
    <w:rsid w:val="00C17CB8"/>
    <w:rsid w:val="00C20122"/>
    <w:rsid w:val="00C22272"/>
    <w:rsid w:val="00C2291F"/>
    <w:rsid w:val="00C24C64"/>
    <w:rsid w:val="00C2524C"/>
    <w:rsid w:val="00C32023"/>
    <w:rsid w:val="00C32E5B"/>
    <w:rsid w:val="00C34DD8"/>
    <w:rsid w:val="00C377E1"/>
    <w:rsid w:val="00C40452"/>
    <w:rsid w:val="00C4137D"/>
    <w:rsid w:val="00C41B5C"/>
    <w:rsid w:val="00C420E2"/>
    <w:rsid w:val="00C46E8B"/>
    <w:rsid w:val="00C46EFD"/>
    <w:rsid w:val="00C515EA"/>
    <w:rsid w:val="00C5179B"/>
    <w:rsid w:val="00C52588"/>
    <w:rsid w:val="00C601BD"/>
    <w:rsid w:val="00C60929"/>
    <w:rsid w:val="00C70EFE"/>
    <w:rsid w:val="00C710DD"/>
    <w:rsid w:val="00C81386"/>
    <w:rsid w:val="00C81530"/>
    <w:rsid w:val="00C8323B"/>
    <w:rsid w:val="00C86378"/>
    <w:rsid w:val="00C92D8B"/>
    <w:rsid w:val="00C948CA"/>
    <w:rsid w:val="00C96BDD"/>
    <w:rsid w:val="00C97300"/>
    <w:rsid w:val="00CA0C02"/>
    <w:rsid w:val="00CA24FD"/>
    <w:rsid w:val="00CA2A0A"/>
    <w:rsid w:val="00CA7A24"/>
    <w:rsid w:val="00CB559B"/>
    <w:rsid w:val="00CB638D"/>
    <w:rsid w:val="00CC47B6"/>
    <w:rsid w:val="00CC6538"/>
    <w:rsid w:val="00CD27C9"/>
    <w:rsid w:val="00CD3645"/>
    <w:rsid w:val="00CE1BD6"/>
    <w:rsid w:val="00CF05D0"/>
    <w:rsid w:val="00CF2312"/>
    <w:rsid w:val="00CF3F5A"/>
    <w:rsid w:val="00CF74C0"/>
    <w:rsid w:val="00D007D6"/>
    <w:rsid w:val="00D112A9"/>
    <w:rsid w:val="00D135C9"/>
    <w:rsid w:val="00D16368"/>
    <w:rsid w:val="00D22BCE"/>
    <w:rsid w:val="00D255A8"/>
    <w:rsid w:val="00D26E32"/>
    <w:rsid w:val="00D2743A"/>
    <w:rsid w:val="00D31BC2"/>
    <w:rsid w:val="00D32B74"/>
    <w:rsid w:val="00D33B7B"/>
    <w:rsid w:val="00D35F7C"/>
    <w:rsid w:val="00D404CA"/>
    <w:rsid w:val="00D42BCE"/>
    <w:rsid w:val="00D46365"/>
    <w:rsid w:val="00D5091E"/>
    <w:rsid w:val="00D536F1"/>
    <w:rsid w:val="00D53AC5"/>
    <w:rsid w:val="00D603B0"/>
    <w:rsid w:val="00D64A47"/>
    <w:rsid w:val="00D65805"/>
    <w:rsid w:val="00D65F70"/>
    <w:rsid w:val="00D66869"/>
    <w:rsid w:val="00D71ADD"/>
    <w:rsid w:val="00D76833"/>
    <w:rsid w:val="00D76B92"/>
    <w:rsid w:val="00D770E9"/>
    <w:rsid w:val="00D80EF8"/>
    <w:rsid w:val="00D8333E"/>
    <w:rsid w:val="00D85DDE"/>
    <w:rsid w:val="00D8650E"/>
    <w:rsid w:val="00D874BA"/>
    <w:rsid w:val="00D879FE"/>
    <w:rsid w:val="00D902AB"/>
    <w:rsid w:val="00D91398"/>
    <w:rsid w:val="00D91FF5"/>
    <w:rsid w:val="00DA010F"/>
    <w:rsid w:val="00DA40EA"/>
    <w:rsid w:val="00DA7B63"/>
    <w:rsid w:val="00DB3529"/>
    <w:rsid w:val="00DB3BAB"/>
    <w:rsid w:val="00DC15F9"/>
    <w:rsid w:val="00DC31A6"/>
    <w:rsid w:val="00DD058F"/>
    <w:rsid w:val="00DD54AE"/>
    <w:rsid w:val="00DD5BA4"/>
    <w:rsid w:val="00DD7E30"/>
    <w:rsid w:val="00DE3F52"/>
    <w:rsid w:val="00DF13C2"/>
    <w:rsid w:val="00DF4A3F"/>
    <w:rsid w:val="00DF6451"/>
    <w:rsid w:val="00E0097E"/>
    <w:rsid w:val="00E016F6"/>
    <w:rsid w:val="00E0340D"/>
    <w:rsid w:val="00E037FB"/>
    <w:rsid w:val="00E03A88"/>
    <w:rsid w:val="00E055AC"/>
    <w:rsid w:val="00E07CA2"/>
    <w:rsid w:val="00E12A7D"/>
    <w:rsid w:val="00E13025"/>
    <w:rsid w:val="00E1384B"/>
    <w:rsid w:val="00E22CBD"/>
    <w:rsid w:val="00E2347B"/>
    <w:rsid w:val="00E23A37"/>
    <w:rsid w:val="00E32B51"/>
    <w:rsid w:val="00E3499E"/>
    <w:rsid w:val="00E36ABE"/>
    <w:rsid w:val="00E40201"/>
    <w:rsid w:val="00E4085B"/>
    <w:rsid w:val="00E41229"/>
    <w:rsid w:val="00E4131F"/>
    <w:rsid w:val="00E4176F"/>
    <w:rsid w:val="00E43821"/>
    <w:rsid w:val="00E44413"/>
    <w:rsid w:val="00E446DA"/>
    <w:rsid w:val="00E44E45"/>
    <w:rsid w:val="00E475B0"/>
    <w:rsid w:val="00E5088A"/>
    <w:rsid w:val="00E5548E"/>
    <w:rsid w:val="00E60127"/>
    <w:rsid w:val="00E60CB2"/>
    <w:rsid w:val="00E62616"/>
    <w:rsid w:val="00E6677A"/>
    <w:rsid w:val="00E727A4"/>
    <w:rsid w:val="00E7294C"/>
    <w:rsid w:val="00E8240C"/>
    <w:rsid w:val="00E83C44"/>
    <w:rsid w:val="00E858FE"/>
    <w:rsid w:val="00E87AFC"/>
    <w:rsid w:val="00E90892"/>
    <w:rsid w:val="00E94A3A"/>
    <w:rsid w:val="00E9512C"/>
    <w:rsid w:val="00E963E5"/>
    <w:rsid w:val="00E97FDB"/>
    <w:rsid w:val="00EA7437"/>
    <w:rsid w:val="00EA74A4"/>
    <w:rsid w:val="00EA7F3C"/>
    <w:rsid w:val="00EB39FE"/>
    <w:rsid w:val="00EC3D3A"/>
    <w:rsid w:val="00EC7C63"/>
    <w:rsid w:val="00ED2754"/>
    <w:rsid w:val="00ED399C"/>
    <w:rsid w:val="00EE1A5E"/>
    <w:rsid w:val="00EE3694"/>
    <w:rsid w:val="00EE3D3F"/>
    <w:rsid w:val="00EE63D5"/>
    <w:rsid w:val="00EF381D"/>
    <w:rsid w:val="00EF4595"/>
    <w:rsid w:val="00EF675B"/>
    <w:rsid w:val="00F0112C"/>
    <w:rsid w:val="00F029CE"/>
    <w:rsid w:val="00F02B94"/>
    <w:rsid w:val="00F031B6"/>
    <w:rsid w:val="00F05C1B"/>
    <w:rsid w:val="00F06332"/>
    <w:rsid w:val="00F065CE"/>
    <w:rsid w:val="00F066A6"/>
    <w:rsid w:val="00F067E6"/>
    <w:rsid w:val="00F072B9"/>
    <w:rsid w:val="00F07965"/>
    <w:rsid w:val="00F110A0"/>
    <w:rsid w:val="00F16CFF"/>
    <w:rsid w:val="00F16F23"/>
    <w:rsid w:val="00F3170C"/>
    <w:rsid w:val="00F31E33"/>
    <w:rsid w:val="00F37FD2"/>
    <w:rsid w:val="00F40BF9"/>
    <w:rsid w:val="00F430D9"/>
    <w:rsid w:val="00F4369C"/>
    <w:rsid w:val="00F443B5"/>
    <w:rsid w:val="00F449DB"/>
    <w:rsid w:val="00F46960"/>
    <w:rsid w:val="00F47D28"/>
    <w:rsid w:val="00F52C5F"/>
    <w:rsid w:val="00F6251E"/>
    <w:rsid w:val="00F64B0A"/>
    <w:rsid w:val="00F64C2D"/>
    <w:rsid w:val="00F700C0"/>
    <w:rsid w:val="00F7013B"/>
    <w:rsid w:val="00F75790"/>
    <w:rsid w:val="00F76465"/>
    <w:rsid w:val="00F841D8"/>
    <w:rsid w:val="00F90992"/>
    <w:rsid w:val="00FA13FA"/>
    <w:rsid w:val="00FA5936"/>
    <w:rsid w:val="00FA5CD3"/>
    <w:rsid w:val="00FA64CF"/>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D0F3B"/>
    <w:rsid w:val="00FD41B2"/>
    <w:rsid w:val="00FD78F5"/>
    <w:rsid w:val="00FE1306"/>
    <w:rsid w:val="00FE15AB"/>
    <w:rsid w:val="00FE1A5E"/>
    <w:rsid w:val="00FE52CC"/>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 w:type="character" w:customStyle="1" w:styleId="cf01">
    <w:name w:val="cf01"/>
    <w:basedOn w:val="DefaultParagraphFont"/>
    <w:rsid w:val="007C5300"/>
    <w:rPr>
      <w:rFonts w:ascii="Segoe UI" w:hAnsi="Segoe UI" w:cs="Segoe UI" w:hint="default"/>
      <w:sz w:val="18"/>
      <w:szCs w:val="18"/>
    </w:rPr>
  </w:style>
  <w:style w:type="character" w:styleId="FollowedHyperlink">
    <w:name w:val="FollowedHyperlink"/>
    <w:basedOn w:val="DefaultParagraphFont"/>
    <w:uiPriority w:val="99"/>
    <w:semiHidden/>
    <w:unhideWhenUsed/>
    <w:rsid w:val="00262981"/>
    <w:rPr>
      <w:color w:val="954F72" w:themeColor="followedHyperlink"/>
      <w:u w:val="single"/>
    </w:rPr>
  </w:style>
  <w:style w:type="paragraph" w:customStyle="1" w:styleId="NApunkts1">
    <w:name w:val="NA punkts 1"/>
    <w:basedOn w:val="Normal"/>
    <w:link w:val="NApunkts1Rakstz"/>
    <w:qFormat/>
    <w:rsid w:val="00262981"/>
    <w:pPr>
      <w:numPr>
        <w:numId w:val="1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6298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262981"/>
    <w:pPr>
      <w:keepLines/>
      <w:numPr>
        <w:ilvl w:val="1"/>
        <w:numId w:val="1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62981"/>
    <w:pPr>
      <w:keepLines/>
      <w:numPr>
        <w:ilvl w:val="2"/>
        <w:numId w:val="1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62981"/>
    <w:pPr>
      <w:keepLines/>
      <w:numPr>
        <w:ilvl w:val="3"/>
        <w:numId w:val="13"/>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opa.europa.eu/tools-and-data/supervisory-reporting-dpm-and-xbrl_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nk.lv/darbibas-jomas/uzraudziba/apdrosinasanas-tirgus-uzraudziba/apdrosinasanas-sabiedribas-un-filiales/statistikas-datu-sniegsana-apdrosinasanas-sabiedriba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b.europa.eu/stats/financial_corporations/insurance_corporations/html/data_reporting.en.html" TargetMode="External"/><Relationship Id="rId5" Type="http://schemas.openxmlformats.org/officeDocument/2006/relationships/numbering" Target="numbering.xml"/><Relationship Id="rId15" Type="http://schemas.openxmlformats.org/officeDocument/2006/relationships/hyperlink" Target="http://www.bank.l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iopa.europa.eu/tools-and-data/supervisory-reporting-dpm-and-xbrl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2.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11456</Words>
  <Characters>6530</Characters>
  <Application>Microsoft Office Word</Application>
  <DocSecurity>0</DocSecurity>
  <Lines>54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17951</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Ināra Gūtmane</cp:lastModifiedBy>
  <cp:revision>12</cp:revision>
  <cp:lastPrinted>2024-02-14T10:29:00Z</cp:lastPrinted>
  <dcterms:created xsi:type="dcterms:W3CDTF">2024-07-26T05:17:00Z</dcterms:created>
  <dcterms:modified xsi:type="dcterms:W3CDTF">2024-09-09T08:56:00Z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