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8877B" w14:textId="77777777" w:rsidR="000D2C03" w:rsidRPr="000971CA" w:rsidRDefault="000D2C03" w:rsidP="009D2FCD">
      <w:pPr>
        <w:tabs>
          <w:tab w:val="left" w:pos="5400"/>
        </w:tabs>
      </w:pPr>
    </w:p>
    <w:p w14:paraId="5E161B7F" w14:textId="4812015E" w:rsidR="00D61B05" w:rsidRPr="000971CA" w:rsidRDefault="00D61B05">
      <w:pPr>
        <w:tabs>
          <w:tab w:val="left" w:pos="5400"/>
        </w:tabs>
        <w:jc w:val="right"/>
      </w:pPr>
    </w:p>
    <w:p w14:paraId="7A80E9D1" w14:textId="441BB96D" w:rsidR="001811FB" w:rsidRPr="00D567B8" w:rsidRDefault="00DA4CAB">
      <w:pPr>
        <w:tabs>
          <w:tab w:val="left" w:pos="5400"/>
        </w:tabs>
      </w:pPr>
      <w:r w:rsidRPr="000971CA">
        <w:t>202</w:t>
      </w:r>
      <w:r w:rsidR="00246DF0">
        <w:t>1</w:t>
      </w:r>
      <w:r w:rsidR="004F1D0A" w:rsidRPr="000971CA">
        <w:t xml:space="preserve">. gada </w:t>
      </w:r>
      <w:r w:rsidR="00A728D6">
        <w:rPr>
          <w:szCs w:val="24"/>
        </w:rPr>
        <w:t>5</w:t>
      </w:r>
      <w:r w:rsidR="00D61B05" w:rsidRPr="00D567B8">
        <w:rPr>
          <w:szCs w:val="24"/>
        </w:rPr>
        <w:t xml:space="preserve">. </w:t>
      </w:r>
      <w:r w:rsidR="00A728D6">
        <w:rPr>
          <w:szCs w:val="24"/>
        </w:rPr>
        <w:t xml:space="preserve">janvārī </w:t>
      </w:r>
      <w:r w:rsidR="007A63B0" w:rsidRPr="00D567B8">
        <w:rPr>
          <w:noProof/>
        </w:rPr>
        <w:tab/>
        <w:t xml:space="preserve">  </w:t>
      </w:r>
      <w:r w:rsidR="00C5310B" w:rsidRPr="00D567B8">
        <w:rPr>
          <w:noProof/>
        </w:rPr>
        <w:t xml:space="preserve">  </w:t>
      </w:r>
      <w:r w:rsidR="007A63B0" w:rsidRPr="00D567B8">
        <w:rPr>
          <w:noProof/>
        </w:rPr>
        <w:t xml:space="preserve">     </w:t>
      </w:r>
      <w:r w:rsidR="00246DF0">
        <w:rPr>
          <w:noProof/>
        </w:rPr>
        <w:t xml:space="preserve">      </w:t>
      </w:r>
      <w:bookmarkStart w:id="0" w:name="_GoBack"/>
      <w:bookmarkEnd w:id="0"/>
      <w:r w:rsidR="007A63B0" w:rsidRPr="00D567B8">
        <w:rPr>
          <w:noProof/>
        </w:rPr>
        <w:t xml:space="preserve">  Normatīvie noteikumi </w:t>
      </w:r>
      <w:r w:rsidR="00A728D6">
        <w:t xml:space="preserve">Nr. 1 </w:t>
      </w:r>
      <w:r w:rsidR="00CC7F37" w:rsidRPr="00D567B8">
        <w:rPr>
          <w:noProof/>
        </w:rPr>
        <w:t xml:space="preserve"> </w:t>
      </w:r>
      <w:r w:rsidR="007A63B0" w:rsidRPr="000971CA">
        <w:rPr>
          <w:noProof/>
        </w:rPr>
        <w:t xml:space="preserve">Rīgā                                                                     </w:t>
      </w:r>
      <w:r w:rsidR="007A63B0" w:rsidRPr="000971CA">
        <w:t>(Finanšu un ka</w:t>
      </w:r>
      <w:r w:rsidR="000013BC" w:rsidRPr="000971CA">
        <w:t>pitāla tirgus komisijas padomes</w:t>
      </w:r>
      <w:r w:rsidR="000013BC" w:rsidRPr="000971CA">
        <w:br/>
        <w:t xml:space="preserve">                                                                                                 </w:t>
      </w:r>
      <w:r w:rsidR="001607EA">
        <w:t xml:space="preserve">       </w:t>
      </w:r>
      <w:r w:rsidR="000013BC" w:rsidRPr="000971CA">
        <w:t xml:space="preserve">   </w:t>
      </w:r>
      <w:r w:rsidR="007A63B0" w:rsidRPr="000971CA">
        <w:t>sēdes protokols</w:t>
      </w:r>
      <w:r w:rsidR="004F1D0A" w:rsidRPr="000971CA">
        <w:t xml:space="preserve"> Nr.</w:t>
      </w:r>
      <w:r w:rsidR="00A728D6">
        <w:t xml:space="preserve"> 1 2</w:t>
      </w:r>
      <w:r w:rsidR="004F1D0A" w:rsidRPr="00D567B8">
        <w:t>.</w:t>
      </w:r>
      <w:r w:rsidR="00F13498">
        <w:t xml:space="preserve"> </w:t>
      </w:r>
      <w:r w:rsidR="004F1D0A" w:rsidRPr="00D567B8">
        <w:t>p.)</w:t>
      </w:r>
    </w:p>
    <w:p w14:paraId="2A6B181F" w14:textId="77777777" w:rsidR="0006194A" w:rsidRPr="000971CA" w:rsidRDefault="0006194A">
      <w:pPr>
        <w:rPr>
          <w:noProof/>
          <w:lang w:val="de-DE"/>
        </w:rPr>
      </w:pPr>
    </w:p>
    <w:p w14:paraId="485051A8" w14:textId="77777777" w:rsidR="004510E3" w:rsidRPr="000971CA" w:rsidRDefault="004510E3">
      <w:pPr>
        <w:pStyle w:val="NormalWeb"/>
        <w:spacing w:before="0" w:beforeAutospacing="0" w:after="0" w:afterAutospacing="0"/>
        <w:jc w:val="center"/>
        <w:rPr>
          <w:rFonts w:ascii="Times New Roman" w:hAnsi="Times New Roman" w:cs="Times New Roman"/>
          <w:sz w:val="28"/>
        </w:rPr>
      </w:pPr>
    </w:p>
    <w:p w14:paraId="698927AA" w14:textId="040B8094" w:rsidR="00291292" w:rsidRPr="000971CA" w:rsidRDefault="00B5352F">
      <w:pPr>
        <w:pStyle w:val="NormalWeb"/>
        <w:spacing w:before="0" w:beforeAutospacing="0" w:after="0" w:afterAutospacing="0"/>
        <w:jc w:val="center"/>
        <w:rPr>
          <w:rFonts w:ascii="Times New Roman" w:hAnsi="Times New Roman" w:cs="Times New Roman"/>
          <w:sz w:val="28"/>
        </w:rPr>
      </w:pPr>
      <w:r w:rsidRPr="000971CA">
        <w:rPr>
          <w:rFonts w:ascii="Times New Roman" w:hAnsi="Times New Roman" w:cs="Times New Roman"/>
          <w:sz w:val="28"/>
        </w:rPr>
        <w:t>Informācijas par garantēto atlīdzību apkopošanas un sniegšanas normatīvie noteikumi</w:t>
      </w:r>
    </w:p>
    <w:p w14:paraId="4DC38CC2" w14:textId="77777777" w:rsidR="0006194A" w:rsidRPr="000971CA" w:rsidRDefault="00291292">
      <w:pPr>
        <w:pStyle w:val="NormalWeb"/>
        <w:spacing w:before="0" w:beforeAutospacing="0" w:after="0" w:afterAutospacing="0"/>
        <w:jc w:val="center"/>
        <w:rPr>
          <w:rFonts w:ascii="Times New Roman" w:hAnsi="Times New Roman" w:cs="Times New Roman"/>
          <w:bCs/>
          <w:caps/>
          <w:noProof/>
          <w:sz w:val="28"/>
        </w:rPr>
      </w:pPr>
      <w:r w:rsidRPr="000971CA">
        <w:rPr>
          <w:rFonts w:ascii="Times New Roman" w:hAnsi="Times New Roman" w:cs="Times New Roman"/>
          <w:bCs/>
          <w:caps/>
          <w:noProof/>
          <w:sz w:val="28"/>
        </w:rPr>
        <w:t xml:space="preserve"> </w:t>
      </w:r>
    </w:p>
    <w:p w14:paraId="61FBCCCF" w14:textId="77777777" w:rsidR="00291292" w:rsidRPr="000971CA" w:rsidRDefault="0006194A">
      <w:pPr>
        <w:ind w:left="360"/>
        <w:jc w:val="right"/>
        <w:rPr>
          <w:noProof/>
          <w:sz w:val="20"/>
          <w:lang w:val="de-DE"/>
        </w:rPr>
      </w:pPr>
      <w:r w:rsidRPr="000971CA">
        <w:rPr>
          <w:noProof/>
          <w:sz w:val="20"/>
          <w:lang w:val="de-DE"/>
        </w:rPr>
        <w:t xml:space="preserve">           Izdoti saskaņā ar </w:t>
      </w:r>
    </w:p>
    <w:p w14:paraId="13ED1557" w14:textId="77777777" w:rsidR="00412AB3" w:rsidRPr="000971CA" w:rsidRDefault="00D31539">
      <w:pPr>
        <w:ind w:left="360"/>
        <w:jc w:val="right"/>
        <w:rPr>
          <w:sz w:val="20"/>
        </w:rPr>
      </w:pPr>
      <w:r w:rsidRPr="000971CA">
        <w:rPr>
          <w:noProof/>
          <w:sz w:val="20"/>
          <w:lang w:val="de-DE"/>
        </w:rPr>
        <w:t>Noguldījumu garantiju likuma 1</w:t>
      </w:r>
      <w:r w:rsidR="006A7BCE" w:rsidRPr="000971CA">
        <w:rPr>
          <w:noProof/>
          <w:sz w:val="20"/>
          <w:lang w:val="de-DE"/>
        </w:rPr>
        <w:t xml:space="preserve">1. </w:t>
      </w:r>
      <w:r w:rsidR="0077684E" w:rsidRPr="000971CA">
        <w:rPr>
          <w:noProof/>
          <w:sz w:val="20"/>
          <w:lang w:val="de-DE"/>
        </w:rPr>
        <w:t>p</w:t>
      </w:r>
      <w:r w:rsidR="006A7BCE" w:rsidRPr="000971CA">
        <w:rPr>
          <w:noProof/>
          <w:sz w:val="20"/>
          <w:lang w:val="de-DE"/>
        </w:rPr>
        <w:t>ant</w:t>
      </w:r>
      <w:r w:rsidR="0077684E" w:rsidRPr="000971CA">
        <w:rPr>
          <w:noProof/>
          <w:sz w:val="20"/>
          <w:lang w:val="de-DE"/>
        </w:rPr>
        <w:t>a 3. punktu</w:t>
      </w:r>
    </w:p>
    <w:p w14:paraId="095872EA" w14:textId="77777777" w:rsidR="0006194A" w:rsidRPr="000971CA" w:rsidRDefault="0006194A">
      <w:pPr>
        <w:rPr>
          <w:noProof/>
        </w:rPr>
      </w:pPr>
    </w:p>
    <w:p w14:paraId="06EC2339" w14:textId="77777777" w:rsidR="006C2545" w:rsidRPr="000971CA" w:rsidRDefault="006C2545">
      <w:pPr>
        <w:rPr>
          <w:noProof/>
        </w:rPr>
      </w:pPr>
    </w:p>
    <w:p w14:paraId="213D395A" w14:textId="77777777" w:rsidR="00B5352F" w:rsidRPr="000971CA" w:rsidRDefault="00AD6309">
      <w:pPr>
        <w:pStyle w:val="ListParagraph"/>
        <w:ind w:left="0" w:right="-1"/>
        <w:jc w:val="center"/>
        <w:rPr>
          <w:b/>
          <w:bCs/>
          <w:sz w:val="26"/>
          <w:szCs w:val="26"/>
          <w:lang w:eastAsia="lv-LV"/>
        </w:rPr>
      </w:pPr>
      <w:r w:rsidRPr="000971CA">
        <w:rPr>
          <w:b/>
          <w:bCs/>
          <w:sz w:val="26"/>
          <w:szCs w:val="26"/>
          <w:lang w:eastAsia="lv-LV"/>
        </w:rPr>
        <w:t xml:space="preserve">I. </w:t>
      </w:r>
      <w:r w:rsidR="00B5352F" w:rsidRPr="000971CA">
        <w:rPr>
          <w:b/>
          <w:bCs/>
          <w:sz w:val="26"/>
          <w:szCs w:val="26"/>
          <w:lang w:eastAsia="lv-LV"/>
        </w:rPr>
        <w:t>Vispārīgie jautājumi</w:t>
      </w:r>
    </w:p>
    <w:p w14:paraId="44CDE9F7" w14:textId="77777777" w:rsidR="00B5352F" w:rsidRPr="000971CA" w:rsidRDefault="00B5352F">
      <w:pPr>
        <w:ind w:left="567" w:right="-1"/>
        <w:rPr>
          <w:bCs/>
          <w:szCs w:val="24"/>
          <w:lang w:eastAsia="lv-LV"/>
        </w:rPr>
      </w:pPr>
    </w:p>
    <w:p w14:paraId="2A959262" w14:textId="77777777" w:rsidR="00B5352F" w:rsidRPr="000971CA" w:rsidRDefault="00B5352F">
      <w:pPr>
        <w:ind w:right="-1" w:firstLine="567"/>
        <w:rPr>
          <w:bCs/>
          <w:szCs w:val="24"/>
          <w:lang w:eastAsia="lv-LV"/>
        </w:rPr>
      </w:pPr>
      <w:r w:rsidRPr="000971CA">
        <w:rPr>
          <w:bCs/>
          <w:szCs w:val="24"/>
          <w:lang w:eastAsia="lv-LV"/>
        </w:rPr>
        <w:t>1. "Informācijas par garantēto atlīdzību apkopošanas un sniegšanas normatīvie noteikumi" (tālāk tekstā – noteikumi) nosaka apjomu un kārtību, kādā noguldījumu piesaistītāji apkopo un sniedz Finanšu un kapitāla tirgus komisijai (tālāk tekstā – Komisija) informāciju par garantēto atlīdzību.</w:t>
      </w:r>
    </w:p>
    <w:p w14:paraId="471D716C" w14:textId="77777777" w:rsidR="00AD6309" w:rsidRPr="000971CA" w:rsidRDefault="00AD6309">
      <w:pPr>
        <w:ind w:right="-1" w:firstLine="567"/>
        <w:rPr>
          <w:bCs/>
          <w:szCs w:val="24"/>
          <w:lang w:eastAsia="lv-LV"/>
        </w:rPr>
      </w:pPr>
    </w:p>
    <w:p w14:paraId="4F952270" w14:textId="77777777" w:rsidR="00B5352F" w:rsidRPr="000971CA" w:rsidRDefault="00B5352F">
      <w:pPr>
        <w:ind w:right="-1" w:firstLine="567"/>
        <w:rPr>
          <w:bCs/>
          <w:szCs w:val="24"/>
          <w:lang w:eastAsia="lv-LV"/>
        </w:rPr>
      </w:pPr>
      <w:r w:rsidRPr="000971CA">
        <w:rPr>
          <w:bCs/>
          <w:szCs w:val="24"/>
          <w:lang w:eastAsia="lv-LV"/>
        </w:rPr>
        <w:t>2. Noteikumi ir saistoši noguldījumu piesaistītājiem, uz kuriem attiecināmi Noguldījumu garantiju likuma noteikumi.</w:t>
      </w:r>
    </w:p>
    <w:p w14:paraId="2756F33D" w14:textId="77777777" w:rsidR="00AD6309" w:rsidRPr="000971CA" w:rsidRDefault="00AD6309">
      <w:pPr>
        <w:ind w:right="-1" w:firstLine="567"/>
        <w:rPr>
          <w:bCs/>
          <w:szCs w:val="24"/>
          <w:lang w:eastAsia="lv-LV"/>
        </w:rPr>
      </w:pPr>
    </w:p>
    <w:p w14:paraId="4DBE28C0" w14:textId="0752815E" w:rsidR="00B5352F" w:rsidRPr="000971CA" w:rsidRDefault="00B5352F">
      <w:pPr>
        <w:ind w:right="-1" w:firstLine="567"/>
        <w:rPr>
          <w:bCs/>
          <w:szCs w:val="24"/>
          <w:lang w:eastAsia="lv-LV"/>
        </w:rPr>
      </w:pPr>
      <w:r w:rsidRPr="000971CA">
        <w:rPr>
          <w:bCs/>
          <w:szCs w:val="24"/>
          <w:lang w:eastAsia="lv-LV"/>
        </w:rPr>
        <w:t>3. Terminu lietojums</w:t>
      </w:r>
      <w:r w:rsidR="006C2545" w:rsidRPr="000971CA">
        <w:rPr>
          <w:bCs/>
          <w:szCs w:val="24"/>
          <w:lang w:eastAsia="lv-LV"/>
        </w:rPr>
        <w:t xml:space="preserve"> šajos</w:t>
      </w:r>
      <w:r w:rsidRPr="000971CA">
        <w:rPr>
          <w:bCs/>
          <w:szCs w:val="24"/>
          <w:lang w:eastAsia="lv-LV"/>
        </w:rPr>
        <w:t xml:space="preserve"> noteikumos atbilst Noguldījumu garantiju likuma terminu lietojumam.</w:t>
      </w:r>
    </w:p>
    <w:p w14:paraId="132E336E" w14:textId="77777777" w:rsidR="00B5352F" w:rsidRPr="000971CA" w:rsidRDefault="00B5352F">
      <w:pPr>
        <w:ind w:right="-1" w:firstLine="567"/>
        <w:rPr>
          <w:bCs/>
          <w:szCs w:val="24"/>
          <w:lang w:eastAsia="lv-LV"/>
        </w:rPr>
      </w:pPr>
    </w:p>
    <w:p w14:paraId="6E77C917" w14:textId="77777777" w:rsidR="00B5352F" w:rsidRPr="000971CA" w:rsidRDefault="00B5352F" w:rsidP="00630FCD">
      <w:pPr>
        <w:ind w:right="-1"/>
        <w:jc w:val="center"/>
        <w:rPr>
          <w:b/>
          <w:bCs/>
          <w:sz w:val="26"/>
          <w:szCs w:val="26"/>
          <w:lang w:eastAsia="lv-LV"/>
        </w:rPr>
      </w:pPr>
      <w:r w:rsidRPr="000971CA">
        <w:rPr>
          <w:b/>
          <w:bCs/>
          <w:sz w:val="26"/>
          <w:szCs w:val="26"/>
          <w:lang w:eastAsia="lv-LV"/>
        </w:rPr>
        <w:t>II. Informācijas par garantēto atlīdzību apjoms</w:t>
      </w:r>
    </w:p>
    <w:p w14:paraId="046A7829" w14:textId="77777777" w:rsidR="00B5352F" w:rsidRPr="000971CA" w:rsidRDefault="00B5352F">
      <w:pPr>
        <w:ind w:right="-1" w:firstLine="567"/>
        <w:jc w:val="center"/>
        <w:rPr>
          <w:b/>
          <w:bCs/>
          <w:szCs w:val="24"/>
          <w:lang w:eastAsia="lv-LV"/>
        </w:rPr>
      </w:pPr>
    </w:p>
    <w:p w14:paraId="039079AA" w14:textId="289A84F2" w:rsidR="00B5352F" w:rsidRPr="000971CA" w:rsidRDefault="00B5352F">
      <w:pPr>
        <w:ind w:right="-1" w:firstLine="567"/>
        <w:rPr>
          <w:bCs/>
          <w:szCs w:val="24"/>
          <w:lang w:eastAsia="lv-LV"/>
        </w:rPr>
      </w:pPr>
      <w:r w:rsidRPr="000971CA">
        <w:rPr>
          <w:bCs/>
          <w:szCs w:val="24"/>
          <w:lang w:eastAsia="lv-LV"/>
        </w:rPr>
        <w:t>4. Noguldījumu piesaistītājs katram noguldītājam, kuram izmaksājama garantētā atlīdzība, piešķir tehnisko identifikatoru, kas ir unikāla simbolu virkne</w:t>
      </w:r>
      <w:r w:rsidR="00075047" w:rsidRPr="000971CA">
        <w:rPr>
          <w:bCs/>
          <w:szCs w:val="24"/>
          <w:lang w:eastAsia="lv-LV"/>
        </w:rPr>
        <w:t xml:space="preserve"> un k</w:t>
      </w:r>
      <w:r w:rsidR="006C2545" w:rsidRPr="000971CA">
        <w:rPr>
          <w:bCs/>
          <w:szCs w:val="24"/>
          <w:lang w:eastAsia="lv-LV"/>
        </w:rPr>
        <w:t>o</w:t>
      </w:r>
      <w:r w:rsidR="00075047" w:rsidRPr="000971CA">
        <w:rPr>
          <w:bCs/>
          <w:szCs w:val="24"/>
          <w:lang w:eastAsia="lv-LV"/>
        </w:rPr>
        <w:t xml:space="preserve"> noguldījumu piesaistītājs lieto savā informācijas sistēmā</w:t>
      </w:r>
      <w:r w:rsidR="00075047" w:rsidRPr="00BF6BEB">
        <w:rPr>
          <w:bCs/>
          <w:szCs w:val="24"/>
          <w:lang w:eastAsia="lv-LV"/>
        </w:rPr>
        <w:t>, pēc kuras tiek</w:t>
      </w:r>
      <w:r w:rsidR="00075047" w:rsidRPr="00D567B8">
        <w:rPr>
          <w:bCs/>
          <w:szCs w:val="24"/>
          <w:lang w:eastAsia="lv-LV"/>
        </w:rPr>
        <w:t xml:space="preserve"> veikta klienta identifikācija</w:t>
      </w:r>
      <w:r w:rsidRPr="00D567B8">
        <w:rPr>
          <w:bCs/>
          <w:szCs w:val="24"/>
          <w:lang w:eastAsia="lv-LV"/>
        </w:rPr>
        <w:t xml:space="preserve">. </w:t>
      </w:r>
      <w:r w:rsidR="004932A1" w:rsidRPr="000971CA">
        <w:rPr>
          <w:szCs w:val="24"/>
        </w:rPr>
        <w:t>Tehniskais identifikators nedrīkst saturēt noguldītāja</w:t>
      </w:r>
      <w:r w:rsidR="00CE7C26" w:rsidRPr="000971CA">
        <w:rPr>
          <w:szCs w:val="24"/>
        </w:rPr>
        <w:t xml:space="preserve"> personīgos</w:t>
      </w:r>
      <w:r w:rsidR="004932A1" w:rsidRPr="000971CA">
        <w:rPr>
          <w:szCs w:val="24"/>
        </w:rPr>
        <w:t xml:space="preserve"> identifikācijas datus. </w:t>
      </w:r>
      <w:r w:rsidRPr="000971CA">
        <w:rPr>
          <w:bCs/>
          <w:szCs w:val="24"/>
          <w:lang w:eastAsia="lv-LV"/>
        </w:rPr>
        <w:t>Vienam noguldītājam, kuram izmaksājama garantētā atlīdzība, nedrīkst piešķirt vairāk kā vienu identifikatoru.</w:t>
      </w:r>
    </w:p>
    <w:p w14:paraId="58982E25" w14:textId="77777777" w:rsidR="00AD6309" w:rsidRPr="000971CA" w:rsidRDefault="00AD6309">
      <w:pPr>
        <w:ind w:right="-1" w:firstLine="567"/>
        <w:rPr>
          <w:bCs/>
          <w:szCs w:val="24"/>
          <w:lang w:eastAsia="lv-LV"/>
        </w:rPr>
      </w:pPr>
    </w:p>
    <w:p w14:paraId="612F34E7" w14:textId="742E9644" w:rsidR="00B5352F" w:rsidRPr="000971CA" w:rsidRDefault="00B5352F">
      <w:pPr>
        <w:ind w:right="-1" w:firstLine="567"/>
        <w:rPr>
          <w:bCs/>
          <w:szCs w:val="24"/>
          <w:lang w:eastAsia="lv-LV"/>
        </w:rPr>
      </w:pPr>
      <w:r w:rsidRPr="000971CA">
        <w:rPr>
          <w:bCs/>
          <w:szCs w:val="24"/>
          <w:lang w:eastAsia="lv-LV"/>
        </w:rPr>
        <w:t>5. Noguldījumu piesaistītājs apkopo šādu informāciju par noguldītāju, k</w:t>
      </w:r>
      <w:r w:rsidR="006C2545" w:rsidRPr="000971CA">
        <w:rPr>
          <w:bCs/>
          <w:szCs w:val="24"/>
          <w:lang w:eastAsia="lv-LV"/>
        </w:rPr>
        <w:t>ur</w:t>
      </w:r>
      <w:r w:rsidRPr="000971CA">
        <w:rPr>
          <w:bCs/>
          <w:szCs w:val="24"/>
          <w:lang w:eastAsia="lv-LV"/>
        </w:rPr>
        <w:t>am izmaksājama garantētā atlīdzība un k</w:t>
      </w:r>
      <w:r w:rsidR="006C2545" w:rsidRPr="000971CA">
        <w:rPr>
          <w:bCs/>
          <w:szCs w:val="24"/>
          <w:lang w:eastAsia="lv-LV"/>
        </w:rPr>
        <w:t>urš</w:t>
      </w:r>
      <w:r w:rsidRPr="000971CA">
        <w:rPr>
          <w:bCs/>
          <w:szCs w:val="24"/>
          <w:lang w:eastAsia="lv-LV"/>
        </w:rPr>
        <w:t xml:space="preserve"> ir fiziska persona:</w:t>
      </w:r>
    </w:p>
    <w:p w14:paraId="6B0D7E99" w14:textId="77777777" w:rsidR="00B5352F" w:rsidRPr="000971CA" w:rsidRDefault="00B5352F">
      <w:pPr>
        <w:ind w:right="-1" w:firstLine="567"/>
        <w:rPr>
          <w:bCs/>
          <w:szCs w:val="24"/>
          <w:lang w:eastAsia="lv-LV"/>
        </w:rPr>
      </w:pPr>
      <w:r w:rsidRPr="000971CA">
        <w:rPr>
          <w:bCs/>
          <w:szCs w:val="24"/>
          <w:lang w:eastAsia="lv-LV"/>
        </w:rPr>
        <w:t>5.1. vārds un uzvārds;</w:t>
      </w:r>
    </w:p>
    <w:p w14:paraId="7FBE9702" w14:textId="77777777" w:rsidR="00B5352F" w:rsidRPr="000971CA" w:rsidRDefault="00B5352F">
      <w:pPr>
        <w:ind w:right="-1" w:firstLine="567"/>
        <w:rPr>
          <w:bCs/>
          <w:szCs w:val="24"/>
          <w:lang w:eastAsia="lv-LV"/>
        </w:rPr>
      </w:pPr>
      <w:r w:rsidRPr="000971CA">
        <w:rPr>
          <w:bCs/>
          <w:szCs w:val="24"/>
          <w:lang w:eastAsia="lv-LV"/>
        </w:rPr>
        <w:t>5.2. personas kods, ja fiziskā persona ir rezidents vai nerezidents, kuram piešķirts šāds kods;</w:t>
      </w:r>
    </w:p>
    <w:p w14:paraId="4DB4296D" w14:textId="34BE8D32" w:rsidR="00B5352F" w:rsidRPr="000971CA" w:rsidRDefault="00B5352F">
      <w:pPr>
        <w:ind w:right="-1" w:firstLine="567"/>
        <w:rPr>
          <w:bCs/>
          <w:szCs w:val="24"/>
          <w:lang w:eastAsia="lv-LV"/>
        </w:rPr>
      </w:pPr>
      <w:r w:rsidRPr="000971CA">
        <w:rPr>
          <w:bCs/>
          <w:szCs w:val="24"/>
          <w:lang w:eastAsia="lv-LV"/>
        </w:rPr>
        <w:t>5.3. dzimšanas datums;</w:t>
      </w:r>
    </w:p>
    <w:p w14:paraId="13A624A0" w14:textId="77777777" w:rsidR="00B5352F" w:rsidRPr="000971CA" w:rsidRDefault="00B5352F">
      <w:pPr>
        <w:ind w:right="-1" w:firstLine="567"/>
        <w:rPr>
          <w:bCs/>
          <w:szCs w:val="24"/>
          <w:lang w:eastAsia="lv-LV"/>
        </w:rPr>
      </w:pPr>
      <w:r w:rsidRPr="000971CA">
        <w:rPr>
          <w:bCs/>
          <w:szCs w:val="24"/>
          <w:lang w:eastAsia="lv-LV"/>
        </w:rPr>
        <w:t>5.4. personu apliecinoša dokumenta numurs;</w:t>
      </w:r>
    </w:p>
    <w:p w14:paraId="67D7C26C" w14:textId="203478B2" w:rsidR="00B5352F" w:rsidRPr="000971CA" w:rsidRDefault="00B5352F">
      <w:pPr>
        <w:ind w:right="-1" w:firstLine="567"/>
        <w:rPr>
          <w:bCs/>
          <w:szCs w:val="24"/>
          <w:lang w:eastAsia="lv-LV"/>
        </w:rPr>
      </w:pPr>
      <w:r w:rsidRPr="000971CA">
        <w:rPr>
          <w:bCs/>
          <w:szCs w:val="24"/>
          <w:lang w:eastAsia="lv-LV"/>
        </w:rPr>
        <w:t xml:space="preserve">5.5. </w:t>
      </w:r>
      <w:r w:rsidR="00FE5BE5" w:rsidRPr="000971CA">
        <w:rPr>
          <w:bCs/>
          <w:szCs w:val="24"/>
          <w:lang w:eastAsia="lv-LV"/>
        </w:rPr>
        <w:t xml:space="preserve">deklarētās vai </w:t>
      </w:r>
      <w:r w:rsidRPr="000971CA">
        <w:rPr>
          <w:bCs/>
          <w:szCs w:val="24"/>
          <w:lang w:eastAsia="lv-LV"/>
        </w:rPr>
        <w:t>pastāvīgās dzīvesvietas adrese;</w:t>
      </w:r>
    </w:p>
    <w:p w14:paraId="5B4AA131" w14:textId="5A883C60" w:rsidR="00B5352F" w:rsidRPr="000971CA" w:rsidRDefault="00B5352F">
      <w:pPr>
        <w:ind w:right="-1" w:firstLine="567"/>
        <w:rPr>
          <w:bCs/>
          <w:szCs w:val="24"/>
          <w:lang w:eastAsia="lv-LV"/>
        </w:rPr>
      </w:pPr>
      <w:r w:rsidRPr="000971CA">
        <w:rPr>
          <w:bCs/>
          <w:szCs w:val="24"/>
          <w:lang w:eastAsia="lv-LV"/>
        </w:rPr>
        <w:t xml:space="preserve">5.6. pastāvīgās dzīvesvietas adreses valsts kods saskaņā ar standartu LVS EN ISO </w:t>
      </w:r>
      <w:r w:rsidR="00F678D8" w:rsidRPr="000971CA">
        <w:rPr>
          <w:bCs/>
          <w:szCs w:val="24"/>
          <w:lang w:eastAsia="lv-LV"/>
        </w:rPr>
        <w:br/>
      </w:r>
      <w:r w:rsidRPr="000971CA">
        <w:rPr>
          <w:bCs/>
          <w:szCs w:val="24"/>
          <w:lang w:eastAsia="lv-LV"/>
        </w:rPr>
        <w:t>3166-1:2007</w:t>
      </w:r>
      <w:r w:rsidR="00E04326" w:rsidRPr="000971CA">
        <w:rPr>
          <w:bCs/>
          <w:szCs w:val="24"/>
          <w:lang w:eastAsia="lv-LV"/>
        </w:rPr>
        <w:t>;</w:t>
      </w:r>
    </w:p>
    <w:p w14:paraId="5916CD95" w14:textId="5380253B" w:rsidR="00E04326" w:rsidRPr="000971CA" w:rsidRDefault="00E04326">
      <w:pPr>
        <w:ind w:right="-1" w:firstLine="567"/>
        <w:rPr>
          <w:bCs/>
          <w:szCs w:val="24"/>
          <w:lang w:eastAsia="lv-LV"/>
        </w:rPr>
      </w:pPr>
      <w:r w:rsidRPr="000971CA">
        <w:rPr>
          <w:bCs/>
          <w:szCs w:val="24"/>
          <w:lang w:eastAsia="lv-LV"/>
        </w:rPr>
        <w:t>5.7. kontaktt</w:t>
      </w:r>
      <w:r w:rsidR="00B374E9" w:rsidRPr="000971CA">
        <w:rPr>
          <w:bCs/>
          <w:szCs w:val="24"/>
          <w:lang w:eastAsia="lv-LV"/>
        </w:rPr>
        <w:t>ālrunis</w:t>
      </w:r>
      <w:r w:rsidR="005319D7">
        <w:rPr>
          <w:bCs/>
          <w:szCs w:val="24"/>
          <w:lang w:eastAsia="lv-LV"/>
        </w:rPr>
        <w:t xml:space="preserve"> (ja šāda informācija ir noguldījumu piesaistītāja rīcībā)</w:t>
      </w:r>
      <w:r w:rsidR="005319D7" w:rsidRPr="00391D62">
        <w:rPr>
          <w:bCs/>
          <w:szCs w:val="24"/>
          <w:lang w:eastAsia="lv-LV"/>
        </w:rPr>
        <w:t>.</w:t>
      </w:r>
    </w:p>
    <w:p w14:paraId="6F87947B" w14:textId="77777777" w:rsidR="00AD6309" w:rsidRPr="000971CA" w:rsidRDefault="00AD6309">
      <w:pPr>
        <w:ind w:right="-1"/>
        <w:rPr>
          <w:bCs/>
          <w:szCs w:val="24"/>
          <w:lang w:eastAsia="lv-LV"/>
        </w:rPr>
      </w:pPr>
    </w:p>
    <w:p w14:paraId="3F58288C" w14:textId="1C3C0022" w:rsidR="00B5352F" w:rsidRPr="000971CA" w:rsidRDefault="00B5352F">
      <w:pPr>
        <w:keepNext/>
        <w:keepLines/>
        <w:ind w:firstLine="562"/>
        <w:rPr>
          <w:bCs/>
          <w:szCs w:val="24"/>
          <w:lang w:eastAsia="lv-LV"/>
        </w:rPr>
      </w:pPr>
      <w:r w:rsidRPr="000971CA">
        <w:rPr>
          <w:bCs/>
          <w:szCs w:val="24"/>
          <w:lang w:eastAsia="lv-LV"/>
        </w:rPr>
        <w:lastRenderedPageBreak/>
        <w:t>6. Noguldījumu piesaistītājs apkopo šādu informāciju par noguldītāju, k</w:t>
      </w:r>
      <w:r w:rsidR="00F678D8" w:rsidRPr="000971CA">
        <w:rPr>
          <w:bCs/>
          <w:szCs w:val="24"/>
          <w:lang w:eastAsia="lv-LV"/>
        </w:rPr>
        <w:t>ur</w:t>
      </w:r>
      <w:r w:rsidRPr="000971CA">
        <w:rPr>
          <w:bCs/>
          <w:szCs w:val="24"/>
          <w:lang w:eastAsia="lv-LV"/>
        </w:rPr>
        <w:t>am izmaksājama garantētā atlīdzība un k</w:t>
      </w:r>
      <w:r w:rsidR="006C2545" w:rsidRPr="000971CA">
        <w:rPr>
          <w:bCs/>
          <w:szCs w:val="24"/>
          <w:lang w:eastAsia="lv-LV"/>
        </w:rPr>
        <w:t>urš</w:t>
      </w:r>
      <w:r w:rsidRPr="000971CA">
        <w:rPr>
          <w:bCs/>
          <w:szCs w:val="24"/>
          <w:lang w:eastAsia="lv-LV"/>
        </w:rPr>
        <w:t xml:space="preserve"> ir </w:t>
      </w:r>
      <w:r w:rsidR="005E08E5" w:rsidRPr="000971CA">
        <w:rPr>
          <w:bCs/>
          <w:szCs w:val="24"/>
          <w:lang w:eastAsia="lv-LV"/>
        </w:rPr>
        <w:t xml:space="preserve">juridiska </w:t>
      </w:r>
      <w:r w:rsidRPr="000971CA">
        <w:rPr>
          <w:bCs/>
          <w:szCs w:val="24"/>
          <w:lang w:eastAsia="lv-LV"/>
        </w:rPr>
        <w:t>persona:</w:t>
      </w:r>
    </w:p>
    <w:p w14:paraId="3418520F" w14:textId="77777777" w:rsidR="00B5352F" w:rsidRPr="000971CA" w:rsidRDefault="00B5352F">
      <w:pPr>
        <w:keepNext/>
        <w:keepLines/>
        <w:ind w:firstLine="562"/>
        <w:rPr>
          <w:bCs/>
          <w:szCs w:val="24"/>
          <w:lang w:eastAsia="lv-LV"/>
        </w:rPr>
      </w:pPr>
      <w:r w:rsidRPr="000971CA">
        <w:rPr>
          <w:bCs/>
          <w:szCs w:val="24"/>
          <w:lang w:eastAsia="lv-LV"/>
        </w:rPr>
        <w:t>6.1. nosaukums;</w:t>
      </w:r>
    </w:p>
    <w:p w14:paraId="2410E311" w14:textId="77777777" w:rsidR="00B5352F" w:rsidRPr="000971CA" w:rsidRDefault="00B5352F">
      <w:pPr>
        <w:ind w:right="-1" w:firstLine="567"/>
        <w:rPr>
          <w:bCs/>
          <w:szCs w:val="24"/>
          <w:lang w:eastAsia="lv-LV"/>
        </w:rPr>
      </w:pPr>
      <w:r w:rsidRPr="000971CA">
        <w:rPr>
          <w:bCs/>
          <w:szCs w:val="24"/>
          <w:lang w:eastAsia="lv-LV"/>
        </w:rPr>
        <w:t>6.2. juridiskā adrese;</w:t>
      </w:r>
    </w:p>
    <w:p w14:paraId="36E3BFF2" w14:textId="77777777" w:rsidR="00B5352F" w:rsidRPr="000971CA" w:rsidRDefault="00B5352F">
      <w:pPr>
        <w:ind w:right="-1" w:firstLine="567"/>
        <w:rPr>
          <w:bCs/>
          <w:szCs w:val="24"/>
          <w:lang w:eastAsia="lv-LV"/>
        </w:rPr>
      </w:pPr>
      <w:r w:rsidRPr="000971CA">
        <w:rPr>
          <w:bCs/>
          <w:szCs w:val="24"/>
          <w:lang w:eastAsia="lv-LV"/>
        </w:rPr>
        <w:t>6.3. vienotais reģistrācijas numurs, ja juridiskā persona ir rezidents;</w:t>
      </w:r>
    </w:p>
    <w:p w14:paraId="5A47664D" w14:textId="77777777" w:rsidR="00B5352F" w:rsidRPr="000971CA" w:rsidRDefault="00B5352F">
      <w:pPr>
        <w:ind w:right="-1" w:firstLine="567"/>
        <w:rPr>
          <w:bCs/>
          <w:szCs w:val="24"/>
          <w:lang w:eastAsia="lv-LV"/>
        </w:rPr>
      </w:pPr>
      <w:r w:rsidRPr="000971CA">
        <w:rPr>
          <w:bCs/>
          <w:szCs w:val="24"/>
          <w:lang w:eastAsia="lv-LV"/>
        </w:rPr>
        <w:t>6.4. reģistrācijas numurs, ja juridiskā persona ir nerezidents;</w:t>
      </w:r>
    </w:p>
    <w:p w14:paraId="002C8B71" w14:textId="77777777" w:rsidR="00B5352F" w:rsidRPr="000971CA" w:rsidRDefault="00B5352F">
      <w:pPr>
        <w:ind w:right="-1" w:firstLine="567"/>
        <w:rPr>
          <w:bCs/>
          <w:szCs w:val="24"/>
          <w:lang w:eastAsia="lv-LV"/>
        </w:rPr>
      </w:pPr>
      <w:r w:rsidRPr="000971CA">
        <w:rPr>
          <w:bCs/>
          <w:szCs w:val="24"/>
          <w:lang w:eastAsia="lv-LV"/>
        </w:rPr>
        <w:t>6.5. juridiskās adreses valsts kods saskaņā ar standartu LVS EN ISO 3166-1:2007.</w:t>
      </w:r>
    </w:p>
    <w:p w14:paraId="47EE1E01" w14:textId="77777777" w:rsidR="00857BF0" w:rsidRPr="000971CA" w:rsidRDefault="00857BF0">
      <w:pPr>
        <w:ind w:right="-1" w:firstLine="567"/>
        <w:rPr>
          <w:bCs/>
          <w:szCs w:val="24"/>
          <w:lang w:eastAsia="lv-LV"/>
        </w:rPr>
      </w:pPr>
    </w:p>
    <w:p w14:paraId="77BA15D0" w14:textId="135691DC" w:rsidR="00FE5BE5" w:rsidRPr="004F38DA" w:rsidRDefault="002203CA">
      <w:pPr>
        <w:keepNext/>
        <w:keepLines/>
        <w:ind w:firstLine="562"/>
        <w:rPr>
          <w:bCs/>
          <w:szCs w:val="24"/>
          <w:lang w:eastAsia="lv-LV"/>
        </w:rPr>
      </w:pPr>
      <w:r w:rsidRPr="000971CA">
        <w:rPr>
          <w:bCs/>
          <w:szCs w:val="24"/>
          <w:lang w:eastAsia="lv-LV"/>
        </w:rPr>
        <w:t>7</w:t>
      </w:r>
      <w:r w:rsidR="004B4633" w:rsidRPr="000971CA">
        <w:rPr>
          <w:bCs/>
          <w:szCs w:val="24"/>
          <w:lang w:eastAsia="lv-LV"/>
        </w:rPr>
        <w:t>.</w:t>
      </w:r>
      <w:r w:rsidR="00FE5BE5" w:rsidRPr="000971CA">
        <w:rPr>
          <w:bCs/>
          <w:szCs w:val="24"/>
          <w:lang w:eastAsia="lv-LV"/>
        </w:rPr>
        <w:t xml:space="preserve"> </w:t>
      </w:r>
      <w:r w:rsidR="00EB04E3" w:rsidRPr="004F38DA">
        <w:rPr>
          <w:bCs/>
          <w:szCs w:val="24"/>
          <w:lang w:eastAsia="lv-LV"/>
        </w:rPr>
        <w:t>Noguldījumu piesaistītājs apkopo šādu informāciju par noguldītāja, kuram izmaksājama garantētā atlīdzība, pilnvarotajām personām, kas šo noteikumu izpratnē saprotama</w:t>
      </w:r>
      <w:r w:rsidR="00C04781" w:rsidRPr="004F38DA">
        <w:rPr>
          <w:bCs/>
          <w:szCs w:val="24"/>
          <w:lang w:eastAsia="lv-LV"/>
        </w:rPr>
        <w:t>s kā</w:t>
      </w:r>
      <w:r w:rsidR="00EB04E3" w:rsidRPr="004F38DA">
        <w:rPr>
          <w:bCs/>
          <w:szCs w:val="24"/>
          <w:lang w:eastAsia="lv-LV"/>
        </w:rPr>
        <w:t xml:space="preserve"> persona</w:t>
      </w:r>
      <w:r w:rsidR="00C04781" w:rsidRPr="004F38DA">
        <w:rPr>
          <w:bCs/>
          <w:szCs w:val="24"/>
          <w:lang w:eastAsia="lv-LV"/>
        </w:rPr>
        <w:t>s, kurām</w:t>
      </w:r>
      <w:r w:rsidR="00EB04E3" w:rsidRPr="004F38DA">
        <w:rPr>
          <w:bCs/>
          <w:szCs w:val="24"/>
          <w:lang w:eastAsia="lv-LV"/>
        </w:rPr>
        <w:t xml:space="preserve"> ir izsniegta notariāli apstiprināta pilnvara rīkoties ar </w:t>
      </w:r>
      <w:r w:rsidR="00C04781" w:rsidRPr="004F38DA">
        <w:rPr>
          <w:bCs/>
          <w:szCs w:val="24"/>
          <w:lang w:eastAsia="lv-LV"/>
        </w:rPr>
        <w:t xml:space="preserve">noguldītāja </w:t>
      </w:r>
      <w:r w:rsidR="00EB04E3" w:rsidRPr="004F38DA">
        <w:rPr>
          <w:bCs/>
          <w:szCs w:val="24"/>
          <w:lang w:eastAsia="lv-LV"/>
        </w:rPr>
        <w:t>norēķinu kontiem un tajos esošajiem līdzekļiem, kā arī persona</w:t>
      </w:r>
      <w:r w:rsidR="00C04781" w:rsidRPr="004F38DA">
        <w:rPr>
          <w:bCs/>
          <w:szCs w:val="24"/>
          <w:lang w:eastAsia="lv-LV"/>
        </w:rPr>
        <w:t>s, kurām</w:t>
      </w:r>
      <w:r w:rsidR="00EB04E3" w:rsidRPr="004F38DA">
        <w:rPr>
          <w:bCs/>
          <w:szCs w:val="24"/>
          <w:lang w:eastAsia="lv-LV"/>
        </w:rPr>
        <w:t xml:space="preserve"> ar tiesas nolēmumu ir piešķirtas aizgādnības tiesības </w:t>
      </w:r>
      <w:r w:rsidR="004F38DA" w:rsidRPr="004F38DA">
        <w:rPr>
          <w:bCs/>
          <w:szCs w:val="24"/>
          <w:lang w:eastAsia="lv-LV"/>
        </w:rPr>
        <w:t>noguldītāja</w:t>
      </w:r>
      <w:r w:rsidR="00EB04E3" w:rsidRPr="004F38DA">
        <w:rPr>
          <w:bCs/>
          <w:szCs w:val="24"/>
          <w:lang w:eastAsia="lv-LV"/>
        </w:rPr>
        <w:t xml:space="preserve"> daļējas vai pilnīgas rīcībnespējas gadījumā un no šī nolēmuma izriet person</w:t>
      </w:r>
      <w:r w:rsidR="00C04781" w:rsidRPr="004F38DA">
        <w:rPr>
          <w:bCs/>
          <w:szCs w:val="24"/>
          <w:lang w:eastAsia="lv-LV"/>
        </w:rPr>
        <w:t>u</w:t>
      </w:r>
      <w:r w:rsidR="00EB04E3" w:rsidRPr="004F38DA">
        <w:rPr>
          <w:bCs/>
          <w:szCs w:val="24"/>
          <w:lang w:eastAsia="lv-LV"/>
        </w:rPr>
        <w:t xml:space="preserve"> tiesības rīkoties ar </w:t>
      </w:r>
      <w:r w:rsidR="00C04781" w:rsidRPr="004F38DA">
        <w:rPr>
          <w:bCs/>
          <w:szCs w:val="24"/>
          <w:lang w:eastAsia="lv-LV"/>
        </w:rPr>
        <w:t xml:space="preserve">noguldītāja </w:t>
      </w:r>
      <w:r w:rsidR="00EB04E3" w:rsidRPr="004F38DA">
        <w:rPr>
          <w:bCs/>
          <w:szCs w:val="24"/>
          <w:lang w:eastAsia="lv-LV"/>
        </w:rPr>
        <w:t>naudas līdzekļiem un norēķinu kontiem</w:t>
      </w:r>
      <w:r w:rsidR="00FE5BE5" w:rsidRPr="004F38DA">
        <w:rPr>
          <w:bCs/>
          <w:szCs w:val="24"/>
          <w:lang w:eastAsia="lv-LV"/>
        </w:rPr>
        <w:t>:</w:t>
      </w:r>
    </w:p>
    <w:p w14:paraId="38E3B29E" w14:textId="49B5BEC4" w:rsidR="00FE5BE5" w:rsidRPr="000971CA" w:rsidRDefault="002203CA">
      <w:pPr>
        <w:keepNext/>
        <w:keepLines/>
        <w:ind w:firstLine="562"/>
        <w:rPr>
          <w:bCs/>
          <w:szCs w:val="24"/>
          <w:lang w:eastAsia="lv-LV"/>
        </w:rPr>
      </w:pPr>
      <w:r w:rsidRPr="000971CA">
        <w:rPr>
          <w:bCs/>
          <w:szCs w:val="24"/>
          <w:lang w:eastAsia="lv-LV"/>
        </w:rPr>
        <w:t>7</w:t>
      </w:r>
      <w:r w:rsidR="004B4633" w:rsidRPr="000971CA">
        <w:rPr>
          <w:bCs/>
          <w:szCs w:val="24"/>
          <w:lang w:eastAsia="lv-LV"/>
        </w:rPr>
        <w:t>.</w:t>
      </w:r>
      <w:r w:rsidR="00FE5BE5" w:rsidRPr="000971CA">
        <w:rPr>
          <w:bCs/>
          <w:szCs w:val="24"/>
          <w:lang w:eastAsia="lv-LV"/>
        </w:rPr>
        <w:t>1. noguldītāja tehniskais identifikators</w:t>
      </w:r>
      <w:r w:rsidR="006C2545" w:rsidRPr="000971CA">
        <w:rPr>
          <w:bCs/>
          <w:szCs w:val="24"/>
          <w:lang w:eastAsia="lv-LV"/>
        </w:rPr>
        <w:t>;</w:t>
      </w:r>
    </w:p>
    <w:p w14:paraId="12481A2A" w14:textId="717D6488" w:rsidR="00FE5BE5" w:rsidRPr="000971CA" w:rsidRDefault="002203CA">
      <w:pPr>
        <w:keepNext/>
        <w:keepLines/>
        <w:ind w:firstLine="562"/>
        <w:rPr>
          <w:bCs/>
          <w:szCs w:val="24"/>
          <w:lang w:eastAsia="lv-LV"/>
        </w:rPr>
      </w:pPr>
      <w:r w:rsidRPr="000971CA">
        <w:rPr>
          <w:bCs/>
          <w:szCs w:val="24"/>
          <w:lang w:eastAsia="lv-LV"/>
        </w:rPr>
        <w:t>7</w:t>
      </w:r>
      <w:r w:rsidR="004B4633" w:rsidRPr="000971CA">
        <w:rPr>
          <w:bCs/>
          <w:szCs w:val="24"/>
          <w:lang w:eastAsia="lv-LV"/>
        </w:rPr>
        <w:t>.</w:t>
      </w:r>
      <w:r w:rsidR="00FE5BE5" w:rsidRPr="000971CA">
        <w:rPr>
          <w:bCs/>
          <w:szCs w:val="24"/>
          <w:lang w:eastAsia="lv-LV"/>
        </w:rPr>
        <w:t>2. pilnvarotās personas vārds un uzvārds;</w:t>
      </w:r>
    </w:p>
    <w:p w14:paraId="73206AA9" w14:textId="2FE35287" w:rsidR="00FE5BE5" w:rsidRPr="000971CA" w:rsidRDefault="002203CA" w:rsidP="00830CEE">
      <w:pPr>
        <w:keepNext/>
        <w:keepLines/>
        <w:tabs>
          <w:tab w:val="right" w:pos="9071"/>
        </w:tabs>
        <w:ind w:firstLine="562"/>
        <w:rPr>
          <w:bCs/>
          <w:szCs w:val="24"/>
          <w:lang w:eastAsia="lv-LV"/>
        </w:rPr>
      </w:pPr>
      <w:r w:rsidRPr="000971CA">
        <w:rPr>
          <w:bCs/>
          <w:szCs w:val="24"/>
          <w:lang w:eastAsia="lv-LV"/>
        </w:rPr>
        <w:t>7</w:t>
      </w:r>
      <w:r w:rsidR="004B4633" w:rsidRPr="000971CA">
        <w:rPr>
          <w:bCs/>
          <w:szCs w:val="24"/>
          <w:lang w:eastAsia="lv-LV"/>
        </w:rPr>
        <w:t>.</w:t>
      </w:r>
      <w:r w:rsidR="00FE5BE5" w:rsidRPr="000971CA">
        <w:rPr>
          <w:bCs/>
          <w:szCs w:val="24"/>
          <w:lang w:eastAsia="lv-LV"/>
        </w:rPr>
        <w:t>3. pilnvarotās personas personas kods;</w:t>
      </w:r>
      <w:r w:rsidR="00830CEE">
        <w:rPr>
          <w:bCs/>
          <w:szCs w:val="24"/>
          <w:lang w:eastAsia="lv-LV"/>
        </w:rPr>
        <w:tab/>
      </w:r>
    </w:p>
    <w:p w14:paraId="3DA8D872" w14:textId="2CBB7AEE" w:rsidR="00FE5BE5" w:rsidRPr="000971CA" w:rsidRDefault="002203CA">
      <w:pPr>
        <w:keepNext/>
        <w:keepLines/>
        <w:ind w:firstLine="562"/>
        <w:rPr>
          <w:bCs/>
          <w:szCs w:val="24"/>
          <w:lang w:eastAsia="lv-LV"/>
        </w:rPr>
      </w:pPr>
      <w:r w:rsidRPr="000971CA">
        <w:rPr>
          <w:bCs/>
          <w:szCs w:val="24"/>
          <w:lang w:eastAsia="lv-LV"/>
        </w:rPr>
        <w:t>7</w:t>
      </w:r>
      <w:r w:rsidR="004B4633" w:rsidRPr="000971CA">
        <w:rPr>
          <w:bCs/>
          <w:szCs w:val="24"/>
          <w:lang w:eastAsia="lv-LV"/>
        </w:rPr>
        <w:t>.</w:t>
      </w:r>
      <w:r w:rsidR="00FE5BE5" w:rsidRPr="000971CA">
        <w:rPr>
          <w:bCs/>
          <w:szCs w:val="24"/>
          <w:lang w:eastAsia="lv-LV"/>
        </w:rPr>
        <w:t>4. pilnvarotās personas dzimšanas datums, ja fizisk</w:t>
      </w:r>
      <w:r w:rsidR="006C2545" w:rsidRPr="000971CA">
        <w:rPr>
          <w:bCs/>
          <w:szCs w:val="24"/>
          <w:lang w:eastAsia="lv-LV"/>
        </w:rPr>
        <w:t>ajai personai nav</w:t>
      </w:r>
      <w:r w:rsidR="004F1D0A" w:rsidRPr="000971CA">
        <w:rPr>
          <w:bCs/>
          <w:szCs w:val="24"/>
          <w:lang w:eastAsia="lv-LV"/>
        </w:rPr>
        <w:t xml:space="preserve"> piešķirts </w:t>
      </w:r>
      <w:r w:rsidR="006C2545" w:rsidRPr="000971CA">
        <w:rPr>
          <w:bCs/>
          <w:szCs w:val="24"/>
          <w:lang w:eastAsia="lv-LV"/>
        </w:rPr>
        <w:t>personas kod</w:t>
      </w:r>
      <w:r w:rsidR="004F1D0A" w:rsidRPr="000971CA">
        <w:rPr>
          <w:bCs/>
          <w:szCs w:val="24"/>
          <w:lang w:eastAsia="lv-LV"/>
        </w:rPr>
        <w:t>s</w:t>
      </w:r>
      <w:r w:rsidR="00FE5BE5" w:rsidRPr="000971CA">
        <w:rPr>
          <w:bCs/>
          <w:szCs w:val="24"/>
          <w:lang w:eastAsia="lv-LV"/>
        </w:rPr>
        <w:t>;</w:t>
      </w:r>
    </w:p>
    <w:p w14:paraId="11845B6B" w14:textId="73785AE1" w:rsidR="00FE5BE5" w:rsidRPr="000971CA" w:rsidRDefault="002203CA">
      <w:pPr>
        <w:keepNext/>
        <w:keepLines/>
        <w:ind w:firstLine="562"/>
        <w:rPr>
          <w:bCs/>
          <w:szCs w:val="24"/>
          <w:lang w:eastAsia="lv-LV"/>
        </w:rPr>
      </w:pPr>
      <w:r w:rsidRPr="000971CA">
        <w:rPr>
          <w:bCs/>
          <w:szCs w:val="24"/>
          <w:lang w:eastAsia="lv-LV"/>
        </w:rPr>
        <w:t>7</w:t>
      </w:r>
      <w:r w:rsidR="004B4633" w:rsidRPr="000971CA">
        <w:rPr>
          <w:bCs/>
          <w:szCs w:val="24"/>
          <w:lang w:eastAsia="lv-LV"/>
        </w:rPr>
        <w:t>.</w:t>
      </w:r>
      <w:r w:rsidR="00FE5BE5" w:rsidRPr="000971CA">
        <w:rPr>
          <w:bCs/>
          <w:szCs w:val="24"/>
          <w:lang w:eastAsia="lv-LV"/>
        </w:rPr>
        <w:t>5. pilnvarotās personas personu apliecinoš</w:t>
      </w:r>
      <w:r w:rsidR="006C2545" w:rsidRPr="000971CA">
        <w:rPr>
          <w:bCs/>
          <w:szCs w:val="24"/>
          <w:lang w:eastAsia="lv-LV"/>
        </w:rPr>
        <w:t>a</w:t>
      </w:r>
      <w:r w:rsidR="00FE5BE5" w:rsidRPr="000971CA">
        <w:rPr>
          <w:bCs/>
          <w:szCs w:val="24"/>
          <w:lang w:eastAsia="lv-LV"/>
        </w:rPr>
        <w:t xml:space="preserve"> dokumenta numurs;</w:t>
      </w:r>
    </w:p>
    <w:p w14:paraId="1DB3CEB9" w14:textId="446B9C54" w:rsidR="00FE5BE5" w:rsidRDefault="002203CA">
      <w:pPr>
        <w:keepNext/>
        <w:keepLines/>
        <w:ind w:firstLine="562"/>
        <w:rPr>
          <w:bCs/>
          <w:szCs w:val="24"/>
          <w:lang w:eastAsia="lv-LV"/>
        </w:rPr>
      </w:pPr>
      <w:r w:rsidRPr="000971CA">
        <w:rPr>
          <w:bCs/>
          <w:szCs w:val="24"/>
          <w:lang w:eastAsia="lv-LV"/>
        </w:rPr>
        <w:t>7</w:t>
      </w:r>
      <w:r w:rsidR="004B4633" w:rsidRPr="000971CA">
        <w:rPr>
          <w:bCs/>
          <w:szCs w:val="24"/>
          <w:lang w:eastAsia="lv-LV"/>
        </w:rPr>
        <w:t>.</w:t>
      </w:r>
      <w:r w:rsidR="00FE5BE5" w:rsidRPr="000971CA">
        <w:rPr>
          <w:bCs/>
          <w:szCs w:val="24"/>
          <w:lang w:eastAsia="lv-LV"/>
        </w:rPr>
        <w:t>6. pilnvarotās personas kontakttālrunis.</w:t>
      </w:r>
    </w:p>
    <w:p w14:paraId="6389322D" w14:textId="77777777" w:rsidR="00AD6309" w:rsidRPr="000971CA" w:rsidRDefault="00AD6309">
      <w:pPr>
        <w:ind w:right="-1"/>
        <w:rPr>
          <w:bCs/>
          <w:szCs w:val="24"/>
          <w:lang w:eastAsia="lv-LV"/>
        </w:rPr>
      </w:pPr>
    </w:p>
    <w:p w14:paraId="2156CE1A" w14:textId="5F844FF2" w:rsidR="00B5352F" w:rsidRPr="000971CA" w:rsidRDefault="002203CA">
      <w:pPr>
        <w:ind w:right="-1" w:firstLine="567"/>
        <w:rPr>
          <w:bCs/>
          <w:szCs w:val="24"/>
          <w:lang w:eastAsia="lv-LV"/>
        </w:rPr>
      </w:pPr>
      <w:r w:rsidRPr="000971CA">
        <w:rPr>
          <w:bCs/>
          <w:szCs w:val="24"/>
          <w:lang w:eastAsia="lv-LV"/>
        </w:rPr>
        <w:t>8</w:t>
      </w:r>
      <w:r w:rsidR="00B5352F" w:rsidRPr="000971CA">
        <w:rPr>
          <w:bCs/>
          <w:szCs w:val="24"/>
          <w:lang w:eastAsia="lv-LV"/>
        </w:rPr>
        <w:t>. Noguldījumu piesaistītājs saskaņā ar Noguldījumu garantiju likumu aprēķina un apkopo informāciju par:</w:t>
      </w:r>
    </w:p>
    <w:p w14:paraId="1A2D888D" w14:textId="71FBE9C7" w:rsidR="00B5352F" w:rsidRPr="000971CA" w:rsidRDefault="002203CA">
      <w:pPr>
        <w:ind w:right="-1" w:firstLine="567"/>
        <w:rPr>
          <w:bCs/>
          <w:szCs w:val="24"/>
          <w:lang w:eastAsia="lv-LV"/>
        </w:rPr>
      </w:pPr>
      <w:r w:rsidRPr="000971CA">
        <w:rPr>
          <w:bCs/>
          <w:szCs w:val="24"/>
          <w:lang w:eastAsia="lv-LV"/>
        </w:rPr>
        <w:t>8</w:t>
      </w:r>
      <w:r w:rsidR="00B5352F" w:rsidRPr="000971CA">
        <w:rPr>
          <w:bCs/>
          <w:szCs w:val="24"/>
          <w:lang w:eastAsia="lv-LV"/>
        </w:rPr>
        <w:t>.1. katra noguldītāja, kuram izmaksājama garantētā atlīdzība, atbilstīgā noguldījuma apmēru;</w:t>
      </w:r>
    </w:p>
    <w:p w14:paraId="5FDC392D" w14:textId="41A09325" w:rsidR="00B5352F" w:rsidRPr="000971CA" w:rsidRDefault="002203CA">
      <w:pPr>
        <w:ind w:right="-1" w:firstLine="567"/>
        <w:rPr>
          <w:bCs/>
          <w:szCs w:val="24"/>
          <w:lang w:eastAsia="lv-LV"/>
        </w:rPr>
      </w:pPr>
      <w:r w:rsidRPr="000971CA">
        <w:rPr>
          <w:bCs/>
          <w:szCs w:val="24"/>
          <w:lang w:eastAsia="lv-LV"/>
        </w:rPr>
        <w:t>8</w:t>
      </w:r>
      <w:r w:rsidR="00B5352F" w:rsidRPr="000971CA">
        <w:rPr>
          <w:bCs/>
          <w:szCs w:val="24"/>
          <w:lang w:eastAsia="lv-LV"/>
        </w:rPr>
        <w:t xml:space="preserve">.2. katra noguldītāja, kuram izmaksājama garantētā atlīdzība, </w:t>
      </w:r>
      <w:r w:rsidR="00EB04E3">
        <w:rPr>
          <w:bCs/>
          <w:szCs w:val="24"/>
          <w:lang w:eastAsia="lv-LV"/>
        </w:rPr>
        <w:t>segtā noguldījuma</w:t>
      </w:r>
      <w:r w:rsidR="00B5352F" w:rsidRPr="000971CA">
        <w:rPr>
          <w:bCs/>
          <w:szCs w:val="24"/>
          <w:lang w:eastAsia="lv-LV"/>
        </w:rPr>
        <w:t xml:space="preserve"> apmēru.</w:t>
      </w:r>
    </w:p>
    <w:p w14:paraId="1E8A56C8" w14:textId="77777777" w:rsidR="00AD6309" w:rsidRPr="000971CA" w:rsidRDefault="00AD6309">
      <w:pPr>
        <w:ind w:right="-1" w:firstLine="567"/>
        <w:rPr>
          <w:bCs/>
          <w:szCs w:val="24"/>
          <w:lang w:eastAsia="lv-LV"/>
        </w:rPr>
      </w:pPr>
    </w:p>
    <w:p w14:paraId="3C2FEB8E" w14:textId="33D2BB18" w:rsidR="00B5352F" w:rsidRPr="000971CA" w:rsidRDefault="002203CA">
      <w:pPr>
        <w:ind w:right="-1" w:firstLine="567"/>
        <w:rPr>
          <w:bCs/>
          <w:szCs w:val="24"/>
          <w:lang w:eastAsia="lv-LV"/>
        </w:rPr>
      </w:pPr>
      <w:r w:rsidRPr="000971CA">
        <w:rPr>
          <w:bCs/>
          <w:szCs w:val="24"/>
          <w:lang w:eastAsia="lv-LV"/>
        </w:rPr>
        <w:t>9</w:t>
      </w:r>
      <w:r w:rsidR="00B5352F" w:rsidRPr="000971CA">
        <w:rPr>
          <w:bCs/>
          <w:szCs w:val="24"/>
          <w:lang w:eastAsia="lv-LV"/>
        </w:rPr>
        <w:t xml:space="preserve">. Noteikumu </w:t>
      </w:r>
      <w:r w:rsidRPr="000971CA">
        <w:rPr>
          <w:bCs/>
          <w:szCs w:val="24"/>
          <w:lang w:eastAsia="lv-LV"/>
        </w:rPr>
        <w:t>8</w:t>
      </w:r>
      <w:r w:rsidR="00B5352F" w:rsidRPr="000971CA">
        <w:rPr>
          <w:bCs/>
          <w:szCs w:val="24"/>
          <w:lang w:eastAsia="lv-LV"/>
        </w:rPr>
        <w:t xml:space="preserve">. punktā noteikto informāciju norāda </w:t>
      </w:r>
      <w:r w:rsidR="00B5352F" w:rsidRPr="000971CA">
        <w:rPr>
          <w:bCs/>
          <w:i/>
          <w:szCs w:val="24"/>
          <w:lang w:eastAsia="lv-LV"/>
        </w:rPr>
        <w:t>euro</w:t>
      </w:r>
      <w:r w:rsidR="00B5352F" w:rsidRPr="000971CA">
        <w:rPr>
          <w:bCs/>
          <w:szCs w:val="24"/>
          <w:lang w:eastAsia="lv-LV"/>
        </w:rPr>
        <w:t xml:space="preserve"> saskaņā ar grāmatvedībā izmantojamo ārvalsts valūtas kursu noguldījumu nepieejamības iestāšanās dienā vai Komisijas pieprasījumā norādītajā dienā, ja Komisija ir nosūtījusi pieprasījumu par informācijas par garantēto atlīdzību iesniegšanu.</w:t>
      </w:r>
    </w:p>
    <w:p w14:paraId="156C8992" w14:textId="77777777" w:rsidR="00AD6309" w:rsidRPr="000971CA" w:rsidRDefault="00AD6309">
      <w:pPr>
        <w:ind w:right="-1" w:firstLine="567"/>
        <w:rPr>
          <w:bCs/>
          <w:szCs w:val="24"/>
          <w:lang w:eastAsia="lv-LV"/>
        </w:rPr>
      </w:pPr>
    </w:p>
    <w:p w14:paraId="7FE6577D" w14:textId="2A633E6F" w:rsidR="00B5352F" w:rsidRPr="000971CA" w:rsidRDefault="002203CA">
      <w:pPr>
        <w:ind w:right="-1" w:firstLine="567"/>
        <w:rPr>
          <w:bCs/>
          <w:szCs w:val="24"/>
          <w:lang w:eastAsia="lv-LV"/>
        </w:rPr>
      </w:pPr>
      <w:r w:rsidRPr="000971CA">
        <w:rPr>
          <w:bCs/>
          <w:szCs w:val="24"/>
          <w:lang w:eastAsia="lv-LV"/>
        </w:rPr>
        <w:t>10</w:t>
      </w:r>
      <w:r w:rsidR="00B5352F" w:rsidRPr="000971CA">
        <w:rPr>
          <w:bCs/>
          <w:szCs w:val="24"/>
          <w:lang w:eastAsia="lv-LV"/>
        </w:rPr>
        <w:t>. Noguldījumu piesaistītājs nodrošina, ka tā grāmatvedības reģistros vai informācijas sistēmās katras dienas beigās ir pieejama aktuālā un vismaz piecu darba dienu vēsturiskā</w:t>
      </w:r>
      <w:r w:rsidR="00F83AC3" w:rsidRPr="000971CA">
        <w:rPr>
          <w:bCs/>
          <w:szCs w:val="24"/>
          <w:lang w:eastAsia="lv-LV"/>
        </w:rPr>
        <w:t xml:space="preserve"> šo</w:t>
      </w:r>
      <w:r w:rsidR="00B5352F" w:rsidRPr="000971CA">
        <w:rPr>
          <w:bCs/>
          <w:szCs w:val="24"/>
          <w:lang w:eastAsia="lv-LV"/>
        </w:rPr>
        <w:t xml:space="preserve"> noteikumu 5.–</w:t>
      </w:r>
      <w:r w:rsidRPr="000971CA">
        <w:rPr>
          <w:bCs/>
          <w:szCs w:val="24"/>
          <w:lang w:eastAsia="lv-LV"/>
        </w:rPr>
        <w:t>8</w:t>
      </w:r>
      <w:r w:rsidR="00B5352F" w:rsidRPr="000971CA">
        <w:rPr>
          <w:bCs/>
          <w:szCs w:val="24"/>
          <w:lang w:eastAsia="lv-LV"/>
        </w:rPr>
        <w:t>. punktā noteiktā informācija.</w:t>
      </w:r>
    </w:p>
    <w:p w14:paraId="42B7521E" w14:textId="77777777" w:rsidR="00AD6309" w:rsidRPr="000971CA" w:rsidRDefault="00AD6309">
      <w:pPr>
        <w:ind w:right="-1" w:firstLine="567"/>
        <w:rPr>
          <w:bCs/>
          <w:szCs w:val="24"/>
          <w:lang w:eastAsia="lv-LV"/>
        </w:rPr>
      </w:pPr>
    </w:p>
    <w:p w14:paraId="0DD61E8B" w14:textId="2BC742E2" w:rsidR="00B5352F" w:rsidRPr="000971CA" w:rsidRDefault="002203CA">
      <w:pPr>
        <w:ind w:right="-1" w:firstLine="567"/>
        <w:rPr>
          <w:bCs/>
          <w:szCs w:val="24"/>
          <w:lang w:eastAsia="lv-LV"/>
        </w:rPr>
      </w:pPr>
      <w:r w:rsidRPr="000971CA">
        <w:rPr>
          <w:bCs/>
          <w:szCs w:val="24"/>
          <w:lang w:eastAsia="lv-LV"/>
        </w:rPr>
        <w:t>11</w:t>
      </w:r>
      <w:r w:rsidR="00B5352F" w:rsidRPr="000971CA">
        <w:rPr>
          <w:bCs/>
          <w:szCs w:val="24"/>
          <w:lang w:eastAsia="lv-LV"/>
        </w:rPr>
        <w:t xml:space="preserve">. Noguldījumu piesaistītājs </w:t>
      </w:r>
      <w:r w:rsidR="00F678D8" w:rsidRPr="000971CA">
        <w:rPr>
          <w:bCs/>
          <w:szCs w:val="24"/>
          <w:lang w:eastAsia="lv-LV"/>
        </w:rPr>
        <w:t xml:space="preserve">šo </w:t>
      </w:r>
      <w:r w:rsidR="00B5352F" w:rsidRPr="000971CA">
        <w:rPr>
          <w:bCs/>
          <w:szCs w:val="24"/>
          <w:lang w:eastAsia="lv-LV"/>
        </w:rPr>
        <w:t xml:space="preserve">noteikumu 5., 6. un </w:t>
      </w:r>
      <w:r w:rsidRPr="000971CA">
        <w:rPr>
          <w:bCs/>
          <w:szCs w:val="24"/>
          <w:lang w:eastAsia="lv-LV"/>
        </w:rPr>
        <w:t>8</w:t>
      </w:r>
      <w:r w:rsidR="00B5352F" w:rsidRPr="000971CA">
        <w:rPr>
          <w:bCs/>
          <w:szCs w:val="24"/>
          <w:lang w:eastAsia="lv-LV"/>
        </w:rPr>
        <w:t xml:space="preserve">. punktā noteikto informāciju par noguldītājiem, kuriem pienākas garantētā atlīdzība, apkopo sarakstā atbilstoši </w:t>
      </w:r>
      <w:r w:rsidR="00F83AC3" w:rsidRPr="000971CA">
        <w:rPr>
          <w:bCs/>
          <w:szCs w:val="24"/>
          <w:lang w:eastAsia="lv-LV"/>
        </w:rPr>
        <w:t xml:space="preserve">šo </w:t>
      </w:r>
      <w:r w:rsidR="00B5352F" w:rsidRPr="000971CA">
        <w:rPr>
          <w:bCs/>
          <w:szCs w:val="24"/>
          <w:lang w:eastAsia="lv-LV"/>
        </w:rPr>
        <w:t>noteikumu 1.</w:t>
      </w:r>
      <w:r w:rsidR="00F678D8" w:rsidRPr="000971CA">
        <w:rPr>
          <w:bCs/>
          <w:szCs w:val="24"/>
          <w:lang w:eastAsia="lv-LV"/>
        </w:rPr>
        <w:t> </w:t>
      </w:r>
      <w:r w:rsidR="00B5352F" w:rsidRPr="000971CA">
        <w:rPr>
          <w:bCs/>
          <w:szCs w:val="24"/>
          <w:lang w:eastAsia="lv-LV"/>
        </w:rPr>
        <w:t>pielikumā norādītajām prasībām. Noguldījumu piesaistītājs informāciju apkopo elektroniski XML (</w:t>
      </w:r>
      <w:r w:rsidR="00B5352F" w:rsidRPr="000971CA">
        <w:rPr>
          <w:bCs/>
          <w:i/>
          <w:szCs w:val="24"/>
          <w:lang w:eastAsia="lv-LV"/>
        </w:rPr>
        <w:t>Extensible Markup Language</w:t>
      </w:r>
      <w:r w:rsidR="00B5352F" w:rsidRPr="000971CA">
        <w:rPr>
          <w:bCs/>
          <w:szCs w:val="24"/>
          <w:lang w:eastAsia="lv-LV"/>
        </w:rPr>
        <w:t xml:space="preserve">) faila formātā saskaņā ar </w:t>
      </w:r>
      <w:r w:rsidR="00F678D8" w:rsidRPr="000971CA">
        <w:rPr>
          <w:bCs/>
          <w:szCs w:val="24"/>
          <w:lang w:eastAsia="lv-LV"/>
        </w:rPr>
        <w:t xml:space="preserve">šo </w:t>
      </w:r>
      <w:r w:rsidR="00B5352F" w:rsidRPr="000971CA">
        <w:rPr>
          <w:bCs/>
          <w:szCs w:val="24"/>
          <w:lang w:eastAsia="lv-LV"/>
        </w:rPr>
        <w:t>noteikumu 2. pielikumā norādīto paraugu un Komisijas sagatavoto XSD (</w:t>
      </w:r>
      <w:r w:rsidR="00B5352F" w:rsidRPr="000971CA">
        <w:rPr>
          <w:bCs/>
          <w:i/>
          <w:szCs w:val="24"/>
          <w:lang w:eastAsia="lv-LV"/>
        </w:rPr>
        <w:t>XML Schema Definition</w:t>
      </w:r>
      <w:r w:rsidR="00B5352F" w:rsidRPr="000971CA">
        <w:rPr>
          <w:bCs/>
          <w:szCs w:val="24"/>
          <w:lang w:eastAsia="lv-LV"/>
        </w:rPr>
        <w:t>) shēmu, ko Komisija nosūta noguldījumu piesaistītājiem. Sagatavojot XML failu, noguldījumu piesaistītājs sagatavo arī faila kontrolvērtību (</w:t>
      </w:r>
      <w:r w:rsidR="00B5352F" w:rsidRPr="000971CA">
        <w:rPr>
          <w:bCs/>
          <w:i/>
          <w:szCs w:val="24"/>
          <w:lang w:eastAsia="lv-LV"/>
        </w:rPr>
        <w:t>hash</w:t>
      </w:r>
      <w:r w:rsidR="00B5352F" w:rsidRPr="000971CA">
        <w:rPr>
          <w:bCs/>
          <w:szCs w:val="24"/>
          <w:lang w:eastAsia="lv-LV"/>
        </w:rPr>
        <w:t>), lietojot SHA256 algoritmu. Noguldījumu piesaistītājs nodrošina, ka kontrolvērtība automātiski tiek saglabāta noguldījumu piesaistītāja informācijas sistēmā, par kuras darbībām tiek veikti auditācijas pieraksti un kuras datu integritāte tiek aizsargāta.</w:t>
      </w:r>
      <w:r w:rsidR="00FC7C86">
        <w:rPr>
          <w:bCs/>
          <w:szCs w:val="24"/>
          <w:lang w:eastAsia="lv-LV"/>
        </w:rPr>
        <w:t xml:space="preserve"> N</w:t>
      </w:r>
      <w:r w:rsidR="00FC7C86" w:rsidRPr="00391D62">
        <w:rPr>
          <w:bCs/>
          <w:szCs w:val="24"/>
          <w:lang w:eastAsia="lv-LV"/>
        </w:rPr>
        <w:t>oguldījumu piesaistītāj</w:t>
      </w:r>
      <w:r w:rsidR="00FC7C86">
        <w:rPr>
          <w:bCs/>
          <w:szCs w:val="24"/>
          <w:lang w:eastAsia="lv-LV"/>
        </w:rPr>
        <w:t>s</w:t>
      </w:r>
      <w:r w:rsidR="00FC7C86" w:rsidRPr="00391D62">
        <w:rPr>
          <w:bCs/>
          <w:szCs w:val="24"/>
          <w:lang w:eastAsia="lv-LV"/>
        </w:rPr>
        <w:t xml:space="preserve">, kura garantētās atlīdzības saņēmēju skaits ir mazāks par četriem </w:t>
      </w:r>
      <w:r w:rsidR="00FC7C86" w:rsidRPr="00391D62">
        <w:rPr>
          <w:bCs/>
          <w:szCs w:val="24"/>
          <w:lang w:eastAsia="lv-LV"/>
        </w:rPr>
        <w:lastRenderedPageBreak/>
        <w:t>simtiem, šo noteikumu 5., 6.</w:t>
      </w:r>
      <w:r w:rsidR="00FC7C86">
        <w:rPr>
          <w:bCs/>
          <w:szCs w:val="24"/>
          <w:lang w:eastAsia="lv-LV"/>
        </w:rPr>
        <w:t xml:space="preserve"> un</w:t>
      </w:r>
      <w:r w:rsidR="00FC7C86" w:rsidRPr="00391D62">
        <w:rPr>
          <w:bCs/>
          <w:szCs w:val="24"/>
          <w:lang w:eastAsia="lv-LV"/>
        </w:rPr>
        <w:t xml:space="preserve"> </w:t>
      </w:r>
      <w:r w:rsidR="00FC7C86">
        <w:rPr>
          <w:bCs/>
          <w:szCs w:val="24"/>
          <w:lang w:eastAsia="lv-LV"/>
        </w:rPr>
        <w:t xml:space="preserve">8. </w:t>
      </w:r>
      <w:r w:rsidR="00FC7C86" w:rsidRPr="00391D62">
        <w:rPr>
          <w:bCs/>
          <w:szCs w:val="24"/>
          <w:lang w:eastAsia="lv-LV"/>
        </w:rPr>
        <w:t xml:space="preserve">punktā noteikto informāciju apkopo elektroniskā veidā </w:t>
      </w:r>
      <w:r w:rsidR="00FC7C86" w:rsidRPr="00391D62">
        <w:rPr>
          <w:szCs w:val="24"/>
        </w:rPr>
        <w:t>XLSX (</w:t>
      </w:r>
      <w:r w:rsidR="00FC7C86" w:rsidRPr="00281863">
        <w:rPr>
          <w:i/>
          <w:szCs w:val="24"/>
        </w:rPr>
        <w:t>Microsoft Excel Open XML</w:t>
      </w:r>
      <w:r w:rsidR="00FC7C86" w:rsidRPr="00391D62">
        <w:rPr>
          <w:szCs w:val="24"/>
        </w:rPr>
        <w:t>) faila formātā</w:t>
      </w:r>
      <w:r w:rsidR="00FC7C86">
        <w:rPr>
          <w:szCs w:val="24"/>
        </w:rPr>
        <w:t>.</w:t>
      </w:r>
    </w:p>
    <w:p w14:paraId="59FA84EB" w14:textId="77777777" w:rsidR="00FE5BE5" w:rsidRPr="000971CA" w:rsidRDefault="00FE5BE5">
      <w:pPr>
        <w:ind w:right="-1" w:firstLine="567"/>
        <w:rPr>
          <w:bCs/>
          <w:szCs w:val="24"/>
          <w:lang w:eastAsia="lv-LV"/>
        </w:rPr>
      </w:pPr>
    </w:p>
    <w:p w14:paraId="08B8BAEC" w14:textId="0188E00A" w:rsidR="00F24B37" w:rsidRPr="000971CA" w:rsidRDefault="002203CA">
      <w:pPr>
        <w:ind w:right="-1" w:firstLine="567"/>
        <w:rPr>
          <w:bCs/>
          <w:szCs w:val="24"/>
          <w:lang w:eastAsia="lv-LV"/>
        </w:rPr>
      </w:pPr>
      <w:r w:rsidRPr="000971CA">
        <w:rPr>
          <w:bCs/>
          <w:szCs w:val="24"/>
          <w:lang w:eastAsia="lv-LV"/>
        </w:rPr>
        <w:t>12</w:t>
      </w:r>
      <w:r w:rsidR="004B4633" w:rsidRPr="000971CA">
        <w:rPr>
          <w:bCs/>
          <w:szCs w:val="24"/>
          <w:lang w:eastAsia="lv-LV"/>
        </w:rPr>
        <w:t>.</w:t>
      </w:r>
      <w:r w:rsidR="00FE5BE5" w:rsidRPr="000971CA">
        <w:rPr>
          <w:bCs/>
          <w:szCs w:val="24"/>
          <w:lang w:eastAsia="lv-LV"/>
        </w:rPr>
        <w:t xml:space="preserve"> Noguldījumu piesaistītājs </w:t>
      </w:r>
      <w:r w:rsidR="00F83AC3" w:rsidRPr="000971CA">
        <w:rPr>
          <w:bCs/>
          <w:szCs w:val="24"/>
          <w:lang w:eastAsia="lv-LV"/>
        </w:rPr>
        <w:t xml:space="preserve">šo </w:t>
      </w:r>
      <w:r w:rsidR="00FE5BE5" w:rsidRPr="000971CA">
        <w:rPr>
          <w:bCs/>
          <w:szCs w:val="24"/>
          <w:lang w:eastAsia="lv-LV"/>
        </w:rPr>
        <w:t xml:space="preserve">noteikumu 5., 6. un </w:t>
      </w:r>
      <w:r w:rsidRPr="000971CA">
        <w:rPr>
          <w:bCs/>
          <w:szCs w:val="24"/>
          <w:lang w:eastAsia="lv-LV"/>
        </w:rPr>
        <w:t>8</w:t>
      </w:r>
      <w:r w:rsidR="00FE5BE5" w:rsidRPr="000971CA">
        <w:rPr>
          <w:bCs/>
          <w:szCs w:val="24"/>
          <w:lang w:eastAsia="lv-LV"/>
        </w:rPr>
        <w:t xml:space="preserve">. punktā noteikto informāciju par noguldītājiem tā filiālēs ārpus Latvijas, kuriem pienākas garantētā atlīdzība, apkopo atsevišķos sarakstos par katru filiāli atbilstoši </w:t>
      </w:r>
      <w:r w:rsidR="00F83AC3" w:rsidRPr="000971CA">
        <w:rPr>
          <w:bCs/>
          <w:szCs w:val="24"/>
          <w:lang w:eastAsia="lv-LV"/>
        </w:rPr>
        <w:t xml:space="preserve">šo </w:t>
      </w:r>
      <w:r w:rsidR="00FE5BE5" w:rsidRPr="000971CA">
        <w:rPr>
          <w:bCs/>
          <w:szCs w:val="24"/>
          <w:lang w:eastAsia="lv-LV"/>
        </w:rPr>
        <w:t xml:space="preserve">noteikumu 1. pielikumā norādītajām prasībām. </w:t>
      </w:r>
      <w:r w:rsidR="00FE5BE5" w:rsidRPr="006A30DD">
        <w:rPr>
          <w:szCs w:val="24"/>
        </w:rPr>
        <w:t>Viens noguldītājs var būt tikai vienā garantētās atlīdzības saņēmēju saraksta failā</w:t>
      </w:r>
      <w:r w:rsidR="00F83AC3" w:rsidRPr="006A30DD">
        <w:rPr>
          <w:szCs w:val="24"/>
        </w:rPr>
        <w:t>. J</w:t>
      </w:r>
      <w:r w:rsidR="00FE5BE5" w:rsidRPr="006A30DD">
        <w:rPr>
          <w:szCs w:val="24"/>
        </w:rPr>
        <w:t>a noguldītājs ir iekļauts</w:t>
      </w:r>
      <w:r w:rsidR="00F83AC3" w:rsidRPr="006A30DD">
        <w:rPr>
          <w:szCs w:val="24"/>
        </w:rPr>
        <w:t xml:space="preserve"> šo</w:t>
      </w:r>
      <w:r w:rsidR="00FE5BE5" w:rsidRPr="006A30DD">
        <w:rPr>
          <w:szCs w:val="24"/>
        </w:rPr>
        <w:t xml:space="preserve"> noteikumu </w:t>
      </w:r>
      <w:r w:rsidRPr="006A30DD">
        <w:rPr>
          <w:szCs w:val="24"/>
        </w:rPr>
        <w:t>11</w:t>
      </w:r>
      <w:r w:rsidR="00F83AC3" w:rsidRPr="006A30DD">
        <w:rPr>
          <w:szCs w:val="24"/>
        </w:rPr>
        <w:t>. punktā</w:t>
      </w:r>
      <w:r w:rsidR="00FE5BE5" w:rsidRPr="006A30DD">
        <w:rPr>
          <w:szCs w:val="24"/>
        </w:rPr>
        <w:t xml:space="preserve"> minētajā sarakstā, tad </w:t>
      </w:r>
      <w:r w:rsidR="002751F5" w:rsidRPr="006A30DD">
        <w:rPr>
          <w:szCs w:val="24"/>
        </w:rPr>
        <w:t xml:space="preserve">tas šo noteikumu </w:t>
      </w:r>
      <w:r w:rsidRPr="006A30DD">
        <w:rPr>
          <w:szCs w:val="24"/>
        </w:rPr>
        <w:t>12</w:t>
      </w:r>
      <w:r w:rsidR="004B4633" w:rsidRPr="006A30DD">
        <w:rPr>
          <w:szCs w:val="24"/>
        </w:rPr>
        <w:t>.</w:t>
      </w:r>
      <w:r w:rsidR="00FE5BE5" w:rsidRPr="006A30DD">
        <w:rPr>
          <w:szCs w:val="24"/>
        </w:rPr>
        <w:t xml:space="preserve"> punktā minētajos sarakstos vairs nav iekļaujams.</w:t>
      </w:r>
      <w:r w:rsidR="00FE5BE5" w:rsidRPr="00D567B8">
        <w:rPr>
          <w:bCs/>
          <w:szCs w:val="24"/>
          <w:lang w:eastAsia="lv-LV"/>
        </w:rPr>
        <w:t xml:space="preserve"> Noguldījumu piesaistītājs informāciju apkopo elektroniski XML (</w:t>
      </w:r>
      <w:r w:rsidR="00FE5BE5" w:rsidRPr="00D567B8">
        <w:rPr>
          <w:bCs/>
          <w:i/>
          <w:szCs w:val="24"/>
          <w:lang w:eastAsia="lv-LV"/>
        </w:rPr>
        <w:t>Extensible Markup Language</w:t>
      </w:r>
      <w:r w:rsidR="00FE5BE5" w:rsidRPr="00D567B8">
        <w:rPr>
          <w:bCs/>
          <w:szCs w:val="24"/>
          <w:lang w:eastAsia="lv-LV"/>
        </w:rPr>
        <w:t>) faila formātā saskaņā ar</w:t>
      </w:r>
      <w:r w:rsidR="00F83AC3" w:rsidRPr="000971CA">
        <w:rPr>
          <w:bCs/>
          <w:szCs w:val="24"/>
          <w:lang w:eastAsia="lv-LV"/>
        </w:rPr>
        <w:t xml:space="preserve"> šo</w:t>
      </w:r>
      <w:r w:rsidR="00FE5BE5" w:rsidRPr="000971CA">
        <w:rPr>
          <w:bCs/>
          <w:szCs w:val="24"/>
          <w:lang w:eastAsia="lv-LV"/>
        </w:rPr>
        <w:t xml:space="preserve"> noteikumu 2. pielikumā norādīto paraugu un Komisijas sagatavoto XSD (</w:t>
      </w:r>
      <w:r w:rsidR="00FE5BE5" w:rsidRPr="000971CA">
        <w:rPr>
          <w:bCs/>
          <w:i/>
          <w:szCs w:val="24"/>
          <w:lang w:eastAsia="lv-LV"/>
        </w:rPr>
        <w:t>XML Schema Definition</w:t>
      </w:r>
      <w:r w:rsidR="00FE5BE5" w:rsidRPr="000971CA">
        <w:rPr>
          <w:bCs/>
          <w:szCs w:val="24"/>
          <w:lang w:eastAsia="lv-LV"/>
        </w:rPr>
        <w:t>) shēmu, ko Komisija nosūta noguldījumu piesaistītājiem. Sagatavojot XML failu, noguldījumu piesaistītājs sagatavo arī faila kontrolvērtību (</w:t>
      </w:r>
      <w:r w:rsidR="00FE5BE5" w:rsidRPr="000971CA">
        <w:rPr>
          <w:bCs/>
          <w:i/>
          <w:szCs w:val="24"/>
          <w:lang w:eastAsia="lv-LV"/>
        </w:rPr>
        <w:t>hash</w:t>
      </w:r>
      <w:r w:rsidR="00FE5BE5" w:rsidRPr="000971CA">
        <w:rPr>
          <w:bCs/>
          <w:szCs w:val="24"/>
          <w:lang w:eastAsia="lv-LV"/>
        </w:rPr>
        <w:t>), lietojot SHA256 algoritmu. Noguldījumu piesaistītājs nodrošina, ka kontrolvērtība automātiski tiek saglabāta noguldījumu piesaistītāja informācijas sistēmā, par kuras darbībām tiek veikti auditācijas pieraksti un kuras datu integritāte tiek aizsargāta.</w:t>
      </w:r>
      <w:r w:rsidR="00FC7C86">
        <w:rPr>
          <w:bCs/>
          <w:szCs w:val="24"/>
          <w:lang w:eastAsia="lv-LV"/>
        </w:rPr>
        <w:t xml:space="preserve"> N</w:t>
      </w:r>
      <w:r w:rsidR="00FC7C86" w:rsidRPr="00391D62">
        <w:rPr>
          <w:bCs/>
          <w:szCs w:val="24"/>
          <w:lang w:eastAsia="lv-LV"/>
        </w:rPr>
        <w:t>oguldījumu piesaistītāj</w:t>
      </w:r>
      <w:r w:rsidR="00FC7C86">
        <w:rPr>
          <w:bCs/>
          <w:szCs w:val="24"/>
          <w:lang w:eastAsia="lv-LV"/>
        </w:rPr>
        <w:t>s</w:t>
      </w:r>
      <w:r w:rsidR="00FC7C86" w:rsidRPr="00391D62">
        <w:rPr>
          <w:bCs/>
          <w:szCs w:val="24"/>
          <w:lang w:eastAsia="lv-LV"/>
        </w:rPr>
        <w:t>, kura garantētās atlīdzības saņēmēju skaits ir mazāks par četriem simtiem, šo noteikumu 5., 6.</w:t>
      </w:r>
      <w:r w:rsidR="00FC7C86">
        <w:rPr>
          <w:bCs/>
          <w:szCs w:val="24"/>
          <w:lang w:eastAsia="lv-LV"/>
        </w:rPr>
        <w:t xml:space="preserve"> un</w:t>
      </w:r>
      <w:r w:rsidR="00FC7C86" w:rsidRPr="00391D62">
        <w:rPr>
          <w:bCs/>
          <w:szCs w:val="24"/>
          <w:lang w:eastAsia="lv-LV"/>
        </w:rPr>
        <w:t xml:space="preserve"> </w:t>
      </w:r>
      <w:r w:rsidR="00FC7C86">
        <w:rPr>
          <w:bCs/>
          <w:szCs w:val="24"/>
          <w:lang w:eastAsia="lv-LV"/>
        </w:rPr>
        <w:t xml:space="preserve">8. </w:t>
      </w:r>
      <w:r w:rsidR="00FC7C86" w:rsidRPr="00391D62">
        <w:rPr>
          <w:bCs/>
          <w:szCs w:val="24"/>
          <w:lang w:eastAsia="lv-LV"/>
        </w:rPr>
        <w:t xml:space="preserve">punktā noteikto informāciju </w:t>
      </w:r>
      <w:r w:rsidR="00FC7C86" w:rsidRPr="009F2D9F">
        <w:rPr>
          <w:bCs/>
          <w:szCs w:val="24"/>
          <w:lang w:eastAsia="lv-LV"/>
        </w:rPr>
        <w:t>par noguldītājiem tā filiālēs ārpus Latvijas</w:t>
      </w:r>
      <w:r w:rsidR="00FC7C86" w:rsidRPr="00391D62">
        <w:rPr>
          <w:bCs/>
          <w:szCs w:val="24"/>
          <w:lang w:eastAsia="lv-LV"/>
        </w:rPr>
        <w:t xml:space="preserve"> apkopo elektroniskā veidā </w:t>
      </w:r>
      <w:r w:rsidR="00FC7C86" w:rsidRPr="00391D62">
        <w:rPr>
          <w:szCs w:val="24"/>
        </w:rPr>
        <w:t>XLSX (</w:t>
      </w:r>
      <w:r w:rsidR="00FC7C86" w:rsidRPr="00281863">
        <w:rPr>
          <w:i/>
          <w:szCs w:val="24"/>
        </w:rPr>
        <w:t>Microsoft Excel Open XML</w:t>
      </w:r>
      <w:r w:rsidR="00FC7C86" w:rsidRPr="00391D62">
        <w:rPr>
          <w:szCs w:val="24"/>
        </w:rPr>
        <w:t>) faila formātā</w:t>
      </w:r>
      <w:r w:rsidR="00FC7C86">
        <w:rPr>
          <w:szCs w:val="24"/>
        </w:rPr>
        <w:t>.</w:t>
      </w:r>
    </w:p>
    <w:p w14:paraId="2110A1E6" w14:textId="77777777" w:rsidR="00F24B37" w:rsidRPr="000971CA" w:rsidRDefault="00F24B37">
      <w:pPr>
        <w:ind w:right="-1" w:firstLine="567"/>
        <w:rPr>
          <w:bCs/>
          <w:szCs w:val="24"/>
          <w:lang w:eastAsia="lv-LV"/>
        </w:rPr>
      </w:pPr>
    </w:p>
    <w:p w14:paraId="2391D1ED" w14:textId="4C9918B5" w:rsidR="00FE5BE5" w:rsidRPr="000971CA" w:rsidRDefault="002203CA">
      <w:pPr>
        <w:ind w:right="-1" w:firstLine="567"/>
        <w:rPr>
          <w:bCs/>
          <w:szCs w:val="24"/>
          <w:lang w:eastAsia="lv-LV"/>
        </w:rPr>
      </w:pPr>
      <w:r w:rsidRPr="000971CA">
        <w:rPr>
          <w:bCs/>
          <w:szCs w:val="24"/>
          <w:lang w:eastAsia="lv-LV"/>
        </w:rPr>
        <w:t>13</w:t>
      </w:r>
      <w:r w:rsidR="004B4633" w:rsidRPr="000971CA">
        <w:rPr>
          <w:bCs/>
          <w:szCs w:val="24"/>
          <w:lang w:eastAsia="lv-LV"/>
        </w:rPr>
        <w:t>.</w:t>
      </w:r>
      <w:r w:rsidR="00FE5BE5" w:rsidRPr="000971CA">
        <w:rPr>
          <w:bCs/>
          <w:szCs w:val="24"/>
          <w:lang w:eastAsia="lv-LV"/>
        </w:rPr>
        <w:t xml:space="preserve"> Noguldījumu piesaistītājs</w:t>
      </w:r>
      <w:r w:rsidR="002751F5" w:rsidRPr="000971CA">
        <w:rPr>
          <w:bCs/>
          <w:szCs w:val="24"/>
          <w:lang w:eastAsia="lv-LV"/>
        </w:rPr>
        <w:t xml:space="preserve"> šo</w:t>
      </w:r>
      <w:r w:rsidR="00FE5BE5" w:rsidRPr="000971CA">
        <w:rPr>
          <w:bCs/>
          <w:szCs w:val="24"/>
          <w:lang w:eastAsia="lv-LV"/>
        </w:rPr>
        <w:t xml:space="preserve"> noteikumu </w:t>
      </w:r>
      <w:r w:rsidRPr="000971CA">
        <w:rPr>
          <w:bCs/>
          <w:szCs w:val="24"/>
          <w:lang w:eastAsia="lv-LV"/>
        </w:rPr>
        <w:t>7</w:t>
      </w:r>
      <w:r w:rsidR="004B4633" w:rsidRPr="000971CA">
        <w:rPr>
          <w:bCs/>
          <w:szCs w:val="24"/>
          <w:lang w:eastAsia="lv-LV"/>
        </w:rPr>
        <w:t>.</w:t>
      </w:r>
      <w:r w:rsidR="00FE5BE5" w:rsidRPr="000971CA">
        <w:rPr>
          <w:bCs/>
          <w:szCs w:val="24"/>
          <w:lang w:eastAsia="lv-LV"/>
        </w:rPr>
        <w:t xml:space="preserve"> punktā noteikto informāciju par noguldītājiem, kuriem pienākas garantētā atlīdzība, apkopo sarakstā atbilstoši </w:t>
      </w:r>
      <w:r w:rsidR="002751F5" w:rsidRPr="000971CA">
        <w:rPr>
          <w:bCs/>
          <w:szCs w:val="24"/>
          <w:lang w:eastAsia="lv-LV"/>
        </w:rPr>
        <w:t xml:space="preserve">šo </w:t>
      </w:r>
      <w:r w:rsidR="00FE5BE5" w:rsidRPr="000971CA">
        <w:rPr>
          <w:bCs/>
          <w:szCs w:val="24"/>
          <w:lang w:eastAsia="lv-LV"/>
        </w:rPr>
        <w:t>noteikumu 3.</w:t>
      </w:r>
      <w:r w:rsidR="00F678D8" w:rsidRPr="000971CA">
        <w:rPr>
          <w:bCs/>
          <w:szCs w:val="24"/>
          <w:lang w:eastAsia="lv-LV"/>
        </w:rPr>
        <w:t> </w:t>
      </w:r>
      <w:r w:rsidR="00FE5BE5" w:rsidRPr="000971CA">
        <w:rPr>
          <w:bCs/>
          <w:szCs w:val="24"/>
          <w:lang w:eastAsia="lv-LV"/>
        </w:rPr>
        <w:t>pielikumā norādītajām prasībām. Noguldījumu piesaistītājs informāciju apkopo elektroniski XML (</w:t>
      </w:r>
      <w:r w:rsidR="00FE5BE5" w:rsidRPr="000971CA">
        <w:rPr>
          <w:bCs/>
          <w:i/>
          <w:szCs w:val="24"/>
          <w:lang w:eastAsia="lv-LV"/>
        </w:rPr>
        <w:t>Extensible Markup Language</w:t>
      </w:r>
      <w:r w:rsidR="00FE5BE5" w:rsidRPr="000971CA">
        <w:rPr>
          <w:bCs/>
          <w:szCs w:val="24"/>
          <w:lang w:eastAsia="lv-LV"/>
        </w:rPr>
        <w:t xml:space="preserve">) faila formātā saskaņā ar </w:t>
      </w:r>
      <w:r w:rsidR="002751F5" w:rsidRPr="000971CA">
        <w:rPr>
          <w:bCs/>
          <w:szCs w:val="24"/>
          <w:lang w:eastAsia="lv-LV"/>
        </w:rPr>
        <w:t xml:space="preserve">šo </w:t>
      </w:r>
      <w:r w:rsidR="00FE5BE5" w:rsidRPr="000971CA">
        <w:rPr>
          <w:bCs/>
          <w:szCs w:val="24"/>
          <w:lang w:eastAsia="lv-LV"/>
        </w:rPr>
        <w:t>noteikumu 4. pielikumā norādīto paraugu un Komisijas sagatavoto XSD (</w:t>
      </w:r>
      <w:r w:rsidR="00FE5BE5" w:rsidRPr="000971CA">
        <w:rPr>
          <w:bCs/>
          <w:i/>
          <w:szCs w:val="24"/>
          <w:lang w:eastAsia="lv-LV"/>
        </w:rPr>
        <w:t>XML Schema Definition</w:t>
      </w:r>
      <w:r w:rsidR="00FE5BE5" w:rsidRPr="000971CA">
        <w:rPr>
          <w:bCs/>
          <w:szCs w:val="24"/>
          <w:lang w:eastAsia="lv-LV"/>
        </w:rPr>
        <w:t>) shēmu, ko Komisija nosūta noguldījumu piesaistītājiem. Sagatavojot XML failu, noguldījumu piesaistītājs sagatavo arī faila kontrolvērtību (</w:t>
      </w:r>
      <w:r w:rsidR="00FE5BE5" w:rsidRPr="000971CA">
        <w:rPr>
          <w:bCs/>
          <w:i/>
          <w:szCs w:val="24"/>
          <w:lang w:eastAsia="lv-LV"/>
        </w:rPr>
        <w:t>hash</w:t>
      </w:r>
      <w:r w:rsidR="00FE5BE5" w:rsidRPr="000971CA">
        <w:rPr>
          <w:bCs/>
          <w:szCs w:val="24"/>
          <w:lang w:eastAsia="lv-LV"/>
        </w:rPr>
        <w:t>), lietojot SHA256 algoritmu. Noguldījumu piesaistītājs nodrošina, ka kontrolvērtība automātiski tiek saglabāta noguldījumu piesaistītāja informācijas sistēmā, par kuras darbībām tiek veikti auditācijas pieraksti un kuras datu integritāte tiek aizsargāta.</w:t>
      </w:r>
      <w:r w:rsidR="00FC7C86">
        <w:rPr>
          <w:bCs/>
          <w:szCs w:val="24"/>
          <w:lang w:eastAsia="lv-LV"/>
        </w:rPr>
        <w:t xml:space="preserve"> N</w:t>
      </w:r>
      <w:r w:rsidR="00FC7C86" w:rsidRPr="00391D62">
        <w:rPr>
          <w:bCs/>
          <w:szCs w:val="24"/>
          <w:lang w:eastAsia="lv-LV"/>
        </w:rPr>
        <w:t>oguldījumu piesaistītāj</w:t>
      </w:r>
      <w:r w:rsidR="00FC7C86">
        <w:rPr>
          <w:bCs/>
          <w:szCs w:val="24"/>
          <w:lang w:eastAsia="lv-LV"/>
        </w:rPr>
        <w:t>s</w:t>
      </w:r>
      <w:r w:rsidR="00FC7C86" w:rsidRPr="00391D62">
        <w:rPr>
          <w:bCs/>
          <w:szCs w:val="24"/>
          <w:lang w:eastAsia="lv-LV"/>
        </w:rPr>
        <w:t xml:space="preserve">, kura garantētās atlīdzības saņēmēju skaits ir mazāks par četriem simtiem, šo noteikumu </w:t>
      </w:r>
      <w:r w:rsidR="00FC7C86">
        <w:rPr>
          <w:bCs/>
          <w:szCs w:val="24"/>
          <w:lang w:eastAsia="lv-LV"/>
        </w:rPr>
        <w:t xml:space="preserve">7. </w:t>
      </w:r>
      <w:r w:rsidR="00FC7C86" w:rsidRPr="00391D62">
        <w:rPr>
          <w:bCs/>
          <w:szCs w:val="24"/>
          <w:lang w:eastAsia="lv-LV"/>
        </w:rPr>
        <w:t>punktā</w:t>
      </w:r>
      <w:r w:rsidR="00FC7C86">
        <w:rPr>
          <w:bCs/>
          <w:szCs w:val="24"/>
          <w:lang w:eastAsia="lv-LV"/>
        </w:rPr>
        <w:t xml:space="preserve"> noteikto informāciju a</w:t>
      </w:r>
      <w:r w:rsidR="00FC7C86" w:rsidRPr="00391D62">
        <w:rPr>
          <w:bCs/>
          <w:szCs w:val="24"/>
          <w:lang w:eastAsia="lv-LV"/>
        </w:rPr>
        <w:t xml:space="preserve">pkopo elektroniskā veidā </w:t>
      </w:r>
      <w:r w:rsidR="00FC7C86" w:rsidRPr="00391D62">
        <w:rPr>
          <w:szCs w:val="24"/>
        </w:rPr>
        <w:t>XLSX (</w:t>
      </w:r>
      <w:r w:rsidR="00FC7C86" w:rsidRPr="00281863">
        <w:rPr>
          <w:i/>
          <w:szCs w:val="24"/>
        </w:rPr>
        <w:t>Microsoft Excel Open XML</w:t>
      </w:r>
      <w:r w:rsidR="00FC7C86" w:rsidRPr="00391D62">
        <w:rPr>
          <w:szCs w:val="24"/>
        </w:rPr>
        <w:t>) faila formātā</w:t>
      </w:r>
      <w:r w:rsidR="00FC7C86">
        <w:rPr>
          <w:szCs w:val="24"/>
        </w:rPr>
        <w:t>.</w:t>
      </w:r>
    </w:p>
    <w:p w14:paraId="2C2F4518" w14:textId="77777777" w:rsidR="00FE5BE5" w:rsidRPr="000971CA" w:rsidRDefault="00FE5BE5">
      <w:pPr>
        <w:ind w:right="-1" w:firstLine="567"/>
        <w:rPr>
          <w:bCs/>
          <w:szCs w:val="24"/>
          <w:lang w:eastAsia="lv-LV"/>
        </w:rPr>
      </w:pPr>
    </w:p>
    <w:p w14:paraId="2E612BB5" w14:textId="49B15733" w:rsidR="00FE5BE5" w:rsidRPr="000971CA" w:rsidRDefault="002203CA">
      <w:pPr>
        <w:ind w:right="-1" w:firstLine="567"/>
        <w:rPr>
          <w:bCs/>
          <w:szCs w:val="24"/>
          <w:lang w:eastAsia="lv-LV"/>
        </w:rPr>
      </w:pPr>
      <w:r w:rsidRPr="000971CA">
        <w:rPr>
          <w:bCs/>
          <w:szCs w:val="24"/>
          <w:lang w:eastAsia="lv-LV"/>
        </w:rPr>
        <w:t>14</w:t>
      </w:r>
      <w:r w:rsidR="004B4633" w:rsidRPr="000971CA">
        <w:rPr>
          <w:bCs/>
          <w:szCs w:val="24"/>
          <w:lang w:eastAsia="lv-LV"/>
        </w:rPr>
        <w:t>.</w:t>
      </w:r>
      <w:r w:rsidR="00FE5BE5" w:rsidRPr="000971CA">
        <w:rPr>
          <w:bCs/>
          <w:szCs w:val="24"/>
          <w:lang w:eastAsia="lv-LV"/>
        </w:rPr>
        <w:t xml:space="preserve"> Noguldījumu piesaistītājs</w:t>
      </w:r>
      <w:r w:rsidR="002751F5" w:rsidRPr="000971CA">
        <w:rPr>
          <w:bCs/>
          <w:szCs w:val="24"/>
          <w:lang w:eastAsia="lv-LV"/>
        </w:rPr>
        <w:t xml:space="preserve"> šo</w:t>
      </w:r>
      <w:r w:rsidR="00FE5BE5" w:rsidRPr="000971CA">
        <w:rPr>
          <w:bCs/>
          <w:szCs w:val="24"/>
          <w:lang w:eastAsia="lv-LV"/>
        </w:rPr>
        <w:t xml:space="preserve"> noteikumu </w:t>
      </w:r>
      <w:r w:rsidRPr="000971CA">
        <w:rPr>
          <w:bCs/>
          <w:szCs w:val="24"/>
          <w:lang w:eastAsia="lv-LV"/>
        </w:rPr>
        <w:t>7</w:t>
      </w:r>
      <w:r w:rsidR="004B4633" w:rsidRPr="000971CA">
        <w:rPr>
          <w:bCs/>
          <w:szCs w:val="24"/>
          <w:lang w:eastAsia="lv-LV"/>
        </w:rPr>
        <w:t>.</w:t>
      </w:r>
      <w:r w:rsidR="00FE5BE5" w:rsidRPr="000971CA">
        <w:rPr>
          <w:bCs/>
          <w:szCs w:val="24"/>
          <w:lang w:eastAsia="lv-LV"/>
        </w:rPr>
        <w:t xml:space="preserve"> punktā noteikto informāciju par noguldītājiem tā filiālēs ārpus Latvijas, kuriem pienākas garantētā atlīdzība, apkopo atsevišķos sarakstos par katru filiāli atbilstoši </w:t>
      </w:r>
      <w:r w:rsidR="002751F5" w:rsidRPr="000971CA">
        <w:rPr>
          <w:bCs/>
          <w:szCs w:val="24"/>
          <w:lang w:eastAsia="lv-LV"/>
        </w:rPr>
        <w:t xml:space="preserve">šo </w:t>
      </w:r>
      <w:r w:rsidR="00FE5BE5" w:rsidRPr="000971CA">
        <w:rPr>
          <w:bCs/>
          <w:szCs w:val="24"/>
          <w:lang w:eastAsia="lv-LV"/>
        </w:rPr>
        <w:t>noteikumu 3. pielikumā norādītajām prasībām. Noguldījumu piesaistītājs informāciju apkopo elektroniski XML (</w:t>
      </w:r>
      <w:r w:rsidR="00FE5BE5" w:rsidRPr="000971CA">
        <w:rPr>
          <w:bCs/>
          <w:i/>
          <w:szCs w:val="24"/>
          <w:lang w:eastAsia="lv-LV"/>
        </w:rPr>
        <w:t>Extensible Markup Language</w:t>
      </w:r>
      <w:r w:rsidR="00FE5BE5" w:rsidRPr="000971CA">
        <w:rPr>
          <w:bCs/>
          <w:szCs w:val="24"/>
          <w:lang w:eastAsia="lv-LV"/>
        </w:rPr>
        <w:t xml:space="preserve">) faila formātā saskaņā ar </w:t>
      </w:r>
      <w:r w:rsidR="002751F5" w:rsidRPr="000971CA">
        <w:rPr>
          <w:bCs/>
          <w:szCs w:val="24"/>
          <w:lang w:eastAsia="lv-LV"/>
        </w:rPr>
        <w:t xml:space="preserve">šo </w:t>
      </w:r>
      <w:r w:rsidR="00FE5BE5" w:rsidRPr="000971CA">
        <w:rPr>
          <w:bCs/>
          <w:szCs w:val="24"/>
          <w:lang w:eastAsia="lv-LV"/>
        </w:rPr>
        <w:t>noteikumu 4. pielikumā norādīto paraugu un Komisijas sagatavoto XSD (</w:t>
      </w:r>
      <w:r w:rsidR="00FE5BE5" w:rsidRPr="000971CA">
        <w:rPr>
          <w:bCs/>
          <w:i/>
          <w:szCs w:val="24"/>
          <w:lang w:eastAsia="lv-LV"/>
        </w:rPr>
        <w:t>XML Schema Definition</w:t>
      </w:r>
      <w:r w:rsidR="00FE5BE5" w:rsidRPr="000971CA">
        <w:rPr>
          <w:bCs/>
          <w:szCs w:val="24"/>
          <w:lang w:eastAsia="lv-LV"/>
        </w:rPr>
        <w:t>) shēmu, ko Komisija nosūta noguldījumu piesaistītājiem. Sagatavojot XML failu, noguldījumu piesaistītājs sagatavo arī faila kontrolvērtību (</w:t>
      </w:r>
      <w:r w:rsidR="00FE5BE5" w:rsidRPr="000971CA">
        <w:rPr>
          <w:bCs/>
          <w:i/>
          <w:szCs w:val="24"/>
          <w:lang w:eastAsia="lv-LV"/>
        </w:rPr>
        <w:t>hash</w:t>
      </w:r>
      <w:r w:rsidR="00FE5BE5" w:rsidRPr="000971CA">
        <w:rPr>
          <w:bCs/>
          <w:szCs w:val="24"/>
          <w:lang w:eastAsia="lv-LV"/>
        </w:rPr>
        <w:t>), lietojot SHA256 algoritmu. Noguldījumu piesaistītājs nodrošina, ka kontrolvērtība automātiski tiek saglabāta noguldījumu piesaistītāja informācijas sistēmā, par kuras darbībām tiek veikti auditācijas pieraksti un kuras datu integritāte tiek aizsargāta.</w:t>
      </w:r>
      <w:r w:rsidR="00FC7C86">
        <w:rPr>
          <w:bCs/>
          <w:szCs w:val="24"/>
          <w:lang w:eastAsia="lv-LV"/>
        </w:rPr>
        <w:t xml:space="preserve"> N</w:t>
      </w:r>
      <w:r w:rsidR="00FC7C86" w:rsidRPr="00391D62">
        <w:rPr>
          <w:bCs/>
          <w:szCs w:val="24"/>
          <w:lang w:eastAsia="lv-LV"/>
        </w:rPr>
        <w:t>oguldījumu piesaistītāj</w:t>
      </w:r>
      <w:r w:rsidR="00FC7C86">
        <w:rPr>
          <w:bCs/>
          <w:szCs w:val="24"/>
          <w:lang w:eastAsia="lv-LV"/>
        </w:rPr>
        <w:t>s</w:t>
      </w:r>
      <w:r w:rsidR="00FC7C86" w:rsidRPr="00391D62">
        <w:rPr>
          <w:bCs/>
          <w:szCs w:val="24"/>
          <w:lang w:eastAsia="lv-LV"/>
        </w:rPr>
        <w:t xml:space="preserve">, kura garantētās atlīdzības saņēmēju skaits ir mazāks par četriem simtiem, šo noteikumu </w:t>
      </w:r>
      <w:r w:rsidR="00FC7C86">
        <w:rPr>
          <w:bCs/>
          <w:szCs w:val="24"/>
          <w:lang w:eastAsia="lv-LV"/>
        </w:rPr>
        <w:t xml:space="preserve">7. </w:t>
      </w:r>
      <w:r w:rsidR="00FC7C86" w:rsidRPr="00391D62">
        <w:rPr>
          <w:bCs/>
          <w:szCs w:val="24"/>
          <w:lang w:eastAsia="lv-LV"/>
        </w:rPr>
        <w:t xml:space="preserve">punktā noteikto informāciju </w:t>
      </w:r>
      <w:r w:rsidR="00FC7C86" w:rsidRPr="009F2D9F">
        <w:rPr>
          <w:bCs/>
          <w:szCs w:val="24"/>
          <w:lang w:eastAsia="lv-LV"/>
        </w:rPr>
        <w:t>par noguldītājiem tā filiālēs ārpus Latvijas</w:t>
      </w:r>
      <w:r w:rsidR="00FC7C86" w:rsidRPr="00391D62">
        <w:rPr>
          <w:bCs/>
          <w:szCs w:val="24"/>
          <w:lang w:eastAsia="lv-LV"/>
        </w:rPr>
        <w:t xml:space="preserve"> apkopo elektroniskā veidā </w:t>
      </w:r>
      <w:r w:rsidR="00FC7C86" w:rsidRPr="00391D62">
        <w:rPr>
          <w:szCs w:val="24"/>
        </w:rPr>
        <w:t>XLSX (</w:t>
      </w:r>
      <w:r w:rsidR="00FC7C86" w:rsidRPr="00281863">
        <w:rPr>
          <w:i/>
          <w:szCs w:val="24"/>
        </w:rPr>
        <w:t>Microsoft Excel Open XML</w:t>
      </w:r>
      <w:r w:rsidR="00FC7C86" w:rsidRPr="00391D62">
        <w:rPr>
          <w:szCs w:val="24"/>
        </w:rPr>
        <w:t>) faila formātā</w:t>
      </w:r>
      <w:r w:rsidR="00FC7C86">
        <w:rPr>
          <w:szCs w:val="24"/>
        </w:rPr>
        <w:t>.</w:t>
      </w:r>
    </w:p>
    <w:p w14:paraId="161FC495" w14:textId="77777777" w:rsidR="00F24B37" w:rsidRPr="000971CA" w:rsidRDefault="00F24B37">
      <w:pPr>
        <w:ind w:right="-1" w:firstLine="567"/>
        <w:rPr>
          <w:bCs/>
          <w:szCs w:val="24"/>
          <w:lang w:eastAsia="lv-LV"/>
        </w:rPr>
      </w:pPr>
    </w:p>
    <w:p w14:paraId="47373264" w14:textId="25A56333" w:rsidR="00B5352F" w:rsidRPr="00D567B8" w:rsidRDefault="002203CA">
      <w:pPr>
        <w:ind w:right="-1" w:firstLine="567"/>
        <w:rPr>
          <w:bCs/>
          <w:szCs w:val="24"/>
          <w:lang w:eastAsia="lv-LV"/>
        </w:rPr>
      </w:pPr>
      <w:r w:rsidRPr="000971CA">
        <w:rPr>
          <w:bCs/>
          <w:szCs w:val="24"/>
          <w:lang w:eastAsia="lv-LV"/>
        </w:rPr>
        <w:t>15</w:t>
      </w:r>
      <w:r w:rsidR="00B5352F" w:rsidRPr="000971CA">
        <w:rPr>
          <w:bCs/>
          <w:szCs w:val="24"/>
          <w:lang w:eastAsia="lv-LV"/>
        </w:rPr>
        <w:t xml:space="preserve">. </w:t>
      </w:r>
      <w:r w:rsidR="00FC7C86" w:rsidRPr="00281863">
        <w:rPr>
          <w:bCs/>
          <w:szCs w:val="24"/>
          <w:lang w:eastAsia="lv-LV"/>
        </w:rPr>
        <w:t xml:space="preserve">Noguldījumu piesaistītājs procesa kontroles vajadzībām sagatavo arī atsevišķu sarakstu ar šo noteikumu 5., 6. un 8. punktā noteikto informāciju, kā arī informāciju par </w:t>
      </w:r>
      <w:r w:rsidR="00FC7C86" w:rsidRPr="00262144">
        <w:rPr>
          <w:bCs/>
          <w:szCs w:val="24"/>
          <w:lang w:eastAsia="lv-LV"/>
        </w:rPr>
        <w:t>katra noguldītāja</w:t>
      </w:r>
      <w:r w:rsidR="00FC7C86" w:rsidRPr="00281863">
        <w:rPr>
          <w:bCs/>
          <w:szCs w:val="24"/>
          <w:lang w:eastAsia="lv-LV"/>
        </w:rPr>
        <w:t xml:space="preserve"> kopējo noguldījumu apmēru, segto noguldījumu apmēru un noguldījumiem tā </w:t>
      </w:r>
      <w:r w:rsidR="00FC7C86" w:rsidRPr="00281863">
        <w:rPr>
          <w:bCs/>
          <w:szCs w:val="24"/>
          <w:lang w:eastAsia="lv-LV"/>
        </w:rPr>
        <w:lastRenderedPageBreak/>
        <w:t xml:space="preserve">filiālēs ārpus Latvijas, ietverot informāciju par visiem noguldītājiem, tai skaitā par noguldītājiem, kuriem nepienākas garantētā atlīdzība, un par noguldītājiem, kuriem ir vismaz viens neslēgts konts un noguldījumu atlikums ir mazāks </w:t>
      </w:r>
      <w:r w:rsidR="00E808E2">
        <w:rPr>
          <w:bCs/>
          <w:szCs w:val="24"/>
          <w:lang w:eastAsia="lv-LV"/>
        </w:rPr>
        <w:t xml:space="preserve">par </w:t>
      </w:r>
      <w:r w:rsidR="00FC7C86" w:rsidRPr="00281863">
        <w:rPr>
          <w:bCs/>
          <w:szCs w:val="24"/>
          <w:lang w:eastAsia="lv-LV"/>
        </w:rPr>
        <w:t xml:space="preserve">vai vienāds ar nulli. Sarakstā klasifikatora koda veidā saskaņā ar šo noteikumu 7. pielikumu iekļauj informāciju par noguldītāja neiekļaušanas iemesliem to noguldītāju sarakstā, kuriem pienākas garantētā atlīdzība un par kuriem noguldījumu piesaistītājs apkopo informāciju saskaņā ar šo noteikumu 11. un 12. punktu. Noguldījumu piesaistītājs pēc pieprasījuma iesniedz Komisijai noguldītāju neiekļaušanas sarakstā iemeslu skaidrojumu, ja kā neiekļaušanas iemesls izmantots klasifikatora kods </w:t>
      </w:r>
      <w:r w:rsidR="00FC7C86" w:rsidRPr="00281863">
        <w:rPr>
          <w:rFonts w:eastAsia="Calibri"/>
        </w:rPr>
        <w:t>"</w:t>
      </w:r>
      <w:r w:rsidR="00FC7C86" w:rsidRPr="00281863">
        <w:rPr>
          <w:bCs/>
          <w:szCs w:val="24"/>
          <w:lang w:eastAsia="lv-LV"/>
        </w:rPr>
        <w:t>17 – cits</w:t>
      </w:r>
      <w:r w:rsidR="00FC7C86" w:rsidRPr="00281863">
        <w:rPr>
          <w:rFonts w:eastAsia="Calibri"/>
        </w:rPr>
        <w:t>".</w:t>
      </w:r>
    </w:p>
    <w:p w14:paraId="2B9505F0" w14:textId="77777777" w:rsidR="00AD6309" w:rsidRPr="00D567B8" w:rsidRDefault="00AD6309">
      <w:pPr>
        <w:ind w:right="-1" w:firstLine="567"/>
        <w:rPr>
          <w:bCs/>
          <w:szCs w:val="24"/>
          <w:lang w:eastAsia="lv-LV"/>
        </w:rPr>
      </w:pPr>
    </w:p>
    <w:p w14:paraId="0F119957" w14:textId="4839CAEE" w:rsidR="00B5352F" w:rsidRPr="000971CA" w:rsidRDefault="002203CA">
      <w:pPr>
        <w:ind w:right="-1" w:firstLine="567"/>
        <w:rPr>
          <w:bCs/>
          <w:szCs w:val="24"/>
          <w:lang w:eastAsia="lv-LV"/>
        </w:rPr>
      </w:pPr>
      <w:r w:rsidRPr="000971CA">
        <w:rPr>
          <w:bCs/>
          <w:szCs w:val="24"/>
          <w:lang w:eastAsia="lv-LV"/>
        </w:rPr>
        <w:t>16</w:t>
      </w:r>
      <w:r w:rsidR="00B5352F" w:rsidRPr="000971CA">
        <w:rPr>
          <w:bCs/>
          <w:szCs w:val="24"/>
          <w:lang w:eastAsia="lv-LV"/>
        </w:rPr>
        <w:t xml:space="preserve">. </w:t>
      </w:r>
      <w:r w:rsidR="00FC7C86" w:rsidRPr="00391D62">
        <w:rPr>
          <w:bCs/>
          <w:szCs w:val="24"/>
          <w:lang w:eastAsia="lv-LV"/>
        </w:rPr>
        <w:t xml:space="preserve">Noteikumu </w:t>
      </w:r>
      <w:r w:rsidR="00FC7C86">
        <w:rPr>
          <w:bCs/>
          <w:szCs w:val="24"/>
          <w:lang w:eastAsia="lv-LV"/>
        </w:rPr>
        <w:t>15</w:t>
      </w:r>
      <w:r w:rsidR="00FC7C86" w:rsidRPr="00391D62">
        <w:rPr>
          <w:bCs/>
          <w:szCs w:val="24"/>
          <w:lang w:eastAsia="lv-LV"/>
        </w:rPr>
        <w:t>. punktā noteikto informāciju sagatavo atbilstoši šo noteikumu 5.</w:t>
      </w:r>
      <w:r w:rsidR="006C3A5F">
        <w:rPr>
          <w:bCs/>
          <w:szCs w:val="24"/>
          <w:lang w:eastAsia="lv-LV"/>
        </w:rPr>
        <w:t> </w:t>
      </w:r>
      <w:r w:rsidR="00FC7C86" w:rsidRPr="00391D62">
        <w:rPr>
          <w:bCs/>
          <w:szCs w:val="24"/>
          <w:lang w:eastAsia="lv-LV"/>
        </w:rPr>
        <w:t>pielikumā norādītajām prasībām elektroniski XML (</w:t>
      </w:r>
      <w:r w:rsidR="00FC7C86" w:rsidRPr="00391D62">
        <w:rPr>
          <w:bCs/>
          <w:i/>
          <w:szCs w:val="24"/>
          <w:lang w:eastAsia="lv-LV"/>
        </w:rPr>
        <w:t>Extensible Markup Language</w:t>
      </w:r>
      <w:r w:rsidR="00FC7C86" w:rsidRPr="00391D62">
        <w:rPr>
          <w:bCs/>
          <w:szCs w:val="24"/>
          <w:lang w:eastAsia="lv-LV"/>
        </w:rPr>
        <w:t>) faila formātā saskaņā ar šo noteikumu 6. pielikumā norādīto paraugu un Komisijas sagatavoto XSD (</w:t>
      </w:r>
      <w:r w:rsidR="00FC7C86" w:rsidRPr="00391D62">
        <w:rPr>
          <w:bCs/>
          <w:i/>
          <w:szCs w:val="24"/>
          <w:lang w:eastAsia="lv-LV"/>
        </w:rPr>
        <w:t>XML Schema Definition</w:t>
      </w:r>
      <w:r w:rsidR="00FC7C86" w:rsidRPr="00391D62">
        <w:rPr>
          <w:bCs/>
          <w:szCs w:val="24"/>
          <w:lang w:eastAsia="lv-LV"/>
        </w:rPr>
        <w:t>) shēmu, ko Komisija nosūta noguldījumu piesaistītājiem. Sagatavojot XML failu, noguldījumu piesaistītājs sagatavo arī faila kontrolvērtību (</w:t>
      </w:r>
      <w:r w:rsidR="00FC7C86" w:rsidRPr="00391D62">
        <w:rPr>
          <w:bCs/>
          <w:i/>
          <w:szCs w:val="24"/>
          <w:lang w:eastAsia="lv-LV"/>
        </w:rPr>
        <w:t>hash</w:t>
      </w:r>
      <w:r w:rsidR="00FC7C86" w:rsidRPr="00391D62">
        <w:rPr>
          <w:bCs/>
          <w:szCs w:val="24"/>
          <w:lang w:eastAsia="lv-LV"/>
        </w:rPr>
        <w:t>), lietojot SHA256 algoritmu. Noguldījumu piesaistītājs nodrošina, ka kontrolvērtība automātiski tiek saglabāta noguldījumu piesaistītāja informācijas sistēmā, par kuras darbībām tiek veikti auditācijas pieraksti un kuras datu integritāte tiek aizsargāta.</w:t>
      </w:r>
      <w:r w:rsidR="00FC7C86">
        <w:rPr>
          <w:bCs/>
          <w:szCs w:val="24"/>
          <w:lang w:eastAsia="lv-LV"/>
        </w:rPr>
        <w:t xml:space="preserve"> N</w:t>
      </w:r>
      <w:r w:rsidR="00FC7C86" w:rsidRPr="00391D62">
        <w:rPr>
          <w:bCs/>
          <w:szCs w:val="24"/>
          <w:lang w:eastAsia="lv-LV"/>
        </w:rPr>
        <w:t>oguldījumu piesaistītāj</w:t>
      </w:r>
      <w:r w:rsidR="00FC7C86">
        <w:rPr>
          <w:bCs/>
          <w:szCs w:val="24"/>
          <w:lang w:eastAsia="lv-LV"/>
        </w:rPr>
        <w:t>s</w:t>
      </w:r>
      <w:r w:rsidR="00FC7C86" w:rsidRPr="00391D62">
        <w:rPr>
          <w:bCs/>
          <w:szCs w:val="24"/>
          <w:lang w:eastAsia="lv-LV"/>
        </w:rPr>
        <w:t xml:space="preserve">, kura garantētās atlīdzības saņēmēju skaits ir mazāks par četriem simtiem, šo noteikumu </w:t>
      </w:r>
      <w:r w:rsidR="00FC7C86">
        <w:rPr>
          <w:bCs/>
          <w:szCs w:val="24"/>
          <w:lang w:eastAsia="lv-LV"/>
        </w:rPr>
        <w:t xml:space="preserve">15. </w:t>
      </w:r>
      <w:r w:rsidR="00FC7C86" w:rsidRPr="00391D62">
        <w:rPr>
          <w:bCs/>
          <w:szCs w:val="24"/>
          <w:lang w:eastAsia="lv-LV"/>
        </w:rPr>
        <w:t xml:space="preserve">punktā noteikto informāciju apkopo elektroniskā veidā </w:t>
      </w:r>
      <w:r w:rsidR="00FC7C86" w:rsidRPr="00391D62">
        <w:rPr>
          <w:szCs w:val="24"/>
        </w:rPr>
        <w:t>XLSX (</w:t>
      </w:r>
      <w:r w:rsidR="00FC7C86" w:rsidRPr="00281863">
        <w:rPr>
          <w:i/>
          <w:szCs w:val="24"/>
        </w:rPr>
        <w:t>Microsoft Excel Open XML</w:t>
      </w:r>
      <w:r w:rsidR="00FC7C86" w:rsidRPr="00391D62">
        <w:rPr>
          <w:szCs w:val="24"/>
        </w:rPr>
        <w:t>) faila formātā</w:t>
      </w:r>
      <w:r w:rsidR="00FC7C86">
        <w:rPr>
          <w:szCs w:val="24"/>
        </w:rPr>
        <w:t>.</w:t>
      </w:r>
    </w:p>
    <w:p w14:paraId="31344738" w14:textId="77777777" w:rsidR="00AD6309" w:rsidRPr="000971CA" w:rsidRDefault="00AD6309">
      <w:pPr>
        <w:ind w:right="-1" w:firstLine="567"/>
        <w:rPr>
          <w:bCs/>
          <w:szCs w:val="24"/>
          <w:lang w:eastAsia="lv-LV"/>
        </w:rPr>
      </w:pPr>
    </w:p>
    <w:p w14:paraId="3D9CF40E" w14:textId="16EFED01" w:rsidR="00B5352F" w:rsidRPr="000971CA" w:rsidRDefault="002203CA" w:rsidP="00854E0B">
      <w:pPr>
        <w:ind w:right="-1" w:firstLine="567"/>
        <w:rPr>
          <w:bCs/>
          <w:szCs w:val="24"/>
          <w:lang w:eastAsia="lv-LV"/>
        </w:rPr>
      </w:pPr>
      <w:r w:rsidRPr="000971CA">
        <w:rPr>
          <w:bCs/>
          <w:szCs w:val="24"/>
          <w:lang w:eastAsia="lv-LV"/>
        </w:rPr>
        <w:t>17</w:t>
      </w:r>
      <w:r w:rsidR="00B5352F" w:rsidRPr="000971CA">
        <w:rPr>
          <w:bCs/>
          <w:szCs w:val="24"/>
          <w:lang w:eastAsia="lv-LV"/>
        </w:rPr>
        <w:t xml:space="preserve">. </w:t>
      </w:r>
      <w:r w:rsidR="00FC7C86" w:rsidRPr="003E5171">
        <w:rPr>
          <w:bCs/>
          <w:szCs w:val="24"/>
          <w:lang w:eastAsia="lv-LV"/>
        </w:rPr>
        <w:t xml:space="preserve">Noteikumu </w:t>
      </w:r>
      <w:r w:rsidR="00FC7C86">
        <w:rPr>
          <w:bCs/>
          <w:szCs w:val="24"/>
          <w:lang w:eastAsia="lv-LV"/>
        </w:rPr>
        <w:t>11., 12., 13., 14. un</w:t>
      </w:r>
      <w:r w:rsidR="00FC7C86" w:rsidRPr="00391D62">
        <w:rPr>
          <w:bCs/>
          <w:szCs w:val="24"/>
          <w:lang w:eastAsia="lv-LV"/>
        </w:rPr>
        <w:t xml:space="preserve"> </w:t>
      </w:r>
      <w:r w:rsidR="00FC7C86">
        <w:rPr>
          <w:bCs/>
          <w:szCs w:val="24"/>
          <w:lang w:eastAsia="lv-LV"/>
        </w:rPr>
        <w:t>16</w:t>
      </w:r>
      <w:r w:rsidR="00FC7C86" w:rsidRPr="00391D62">
        <w:rPr>
          <w:bCs/>
          <w:szCs w:val="24"/>
          <w:lang w:eastAsia="lv-LV"/>
        </w:rPr>
        <w:t xml:space="preserve">. </w:t>
      </w:r>
      <w:r w:rsidR="00FC7C86" w:rsidRPr="003E5171">
        <w:rPr>
          <w:bCs/>
          <w:szCs w:val="24"/>
          <w:lang w:eastAsia="lv-LV"/>
        </w:rPr>
        <w:t xml:space="preserve"> </w:t>
      </w:r>
      <w:r w:rsidR="00FC7C86" w:rsidRPr="00391D62">
        <w:rPr>
          <w:bCs/>
          <w:szCs w:val="24"/>
          <w:lang w:eastAsia="lv-LV"/>
        </w:rPr>
        <w:t xml:space="preserve">punktā noteiktajā veidā un apjomā apkopoto informāciju noguldījumu piesaistītājs ne vēlāk kā nākamajā dienā pēc noguldījumu nepieejamības iestāšanās dienas iesniedz Komisijai elektroniski arhivētas un šifrētas datnes veidā, lietojot Komisijas publisko atslēgu </w:t>
      </w:r>
      <w:r w:rsidR="00FC7C86" w:rsidRPr="00972A6B">
        <w:rPr>
          <w:bCs/>
          <w:szCs w:val="24"/>
          <w:lang w:eastAsia="lv-LV"/>
        </w:rPr>
        <w:t>http://www.fktk.lv/texts_files/0_FKTK_Paraksts.asc</w:t>
      </w:r>
      <w:r w:rsidR="00FC7C86" w:rsidRPr="005D2067">
        <w:rPr>
          <w:bCs/>
          <w:szCs w:val="24"/>
          <w:lang w:eastAsia="lv-LV"/>
        </w:rPr>
        <w:t>.</w:t>
      </w:r>
    </w:p>
    <w:p w14:paraId="494B8637" w14:textId="77777777" w:rsidR="00AD6309" w:rsidRPr="000971CA" w:rsidRDefault="00AD6309">
      <w:pPr>
        <w:ind w:right="-1" w:firstLine="567"/>
        <w:rPr>
          <w:bCs/>
          <w:szCs w:val="24"/>
          <w:lang w:eastAsia="lv-LV"/>
        </w:rPr>
      </w:pPr>
    </w:p>
    <w:p w14:paraId="7168D09B" w14:textId="6AE0D56E" w:rsidR="00B5352F" w:rsidRPr="000971CA" w:rsidRDefault="002203CA">
      <w:pPr>
        <w:ind w:right="-1" w:firstLine="567"/>
        <w:rPr>
          <w:bCs/>
          <w:szCs w:val="24"/>
          <w:lang w:eastAsia="lv-LV"/>
        </w:rPr>
      </w:pPr>
      <w:r w:rsidRPr="000971CA">
        <w:rPr>
          <w:bCs/>
          <w:szCs w:val="24"/>
          <w:lang w:eastAsia="lv-LV"/>
        </w:rPr>
        <w:t>18</w:t>
      </w:r>
      <w:r w:rsidR="00B5352F" w:rsidRPr="000971CA">
        <w:rPr>
          <w:bCs/>
          <w:szCs w:val="24"/>
          <w:lang w:eastAsia="lv-LV"/>
        </w:rPr>
        <w:t xml:space="preserve">. </w:t>
      </w:r>
      <w:r w:rsidR="00122950" w:rsidRPr="00391D62">
        <w:rPr>
          <w:bCs/>
          <w:szCs w:val="24"/>
          <w:lang w:eastAsia="lv-LV"/>
        </w:rPr>
        <w:t>N</w:t>
      </w:r>
      <w:r w:rsidR="00122950">
        <w:rPr>
          <w:bCs/>
          <w:szCs w:val="24"/>
          <w:lang w:eastAsia="lv-LV"/>
        </w:rPr>
        <w:t>oguldījumu nepieejamības iestāšanās gadījumā noguldījumu piesaistītājs šo n</w:t>
      </w:r>
      <w:r w:rsidR="00122950" w:rsidRPr="00391D62">
        <w:rPr>
          <w:bCs/>
          <w:szCs w:val="24"/>
          <w:lang w:eastAsia="lv-LV"/>
        </w:rPr>
        <w:t>oteikumu</w:t>
      </w:r>
      <w:r w:rsidR="00122950">
        <w:rPr>
          <w:bCs/>
          <w:szCs w:val="24"/>
          <w:lang w:eastAsia="lv-LV"/>
        </w:rPr>
        <w:t xml:space="preserve"> 5., 6., 7., 8. un</w:t>
      </w:r>
      <w:r w:rsidR="00122950" w:rsidRPr="00391D62">
        <w:rPr>
          <w:bCs/>
          <w:szCs w:val="24"/>
          <w:lang w:eastAsia="lv-LV"/>
        </w:rPr>
        <w:t xml:space="preserve"> </w:t>
      </w:r>
      <w:r w:rsidR="00122950">
        <w:rPr>
          <w:bCs/>
          <w:szCs w:val="24"/>
          <w:lang w:eastAsia="lv-LV"/>
        </w:rPr>
        <w:t>15</w:t>
      </w:r>
      <w:r w:rsidR="00122950" w:rsidRPr="00391D62">
        <w:rPr>
          <w:bCs/>
          <w:szCs w:val="24"/>
          <w:lang w:eastAsia="lv-LV"/>
        </w:rPr>
        <w:t xml:space="preserve">. punktā noteikto aktuālo informāciju iesniedz Komisijai saskaņā ar šo noteikumu </w:t>
      </w:r>
      <w:r w:rsidR="00122950">
        <w:rPr>
          <w:bCs/>
          <w:szCs w:val="24"/>
          <w:lang w:eastAsia="lv-LV"/>
        </w:rPr>
        <w:t>11., 12., 13., 14. un 16</w:t>
      </w:r>
      <w:r w:rsidR="00122950" w:rsidRPr="00391D62">
        <w:rPr>
          <w:bCs/>
          <w:szCs w:val="24"/>
          <w:lang w:eastAsia="lv-LV"/>
        </w:rPr>
        <w:t>. punkta prasībām vienu reizi mēnesī par stāvokli mēneša pēdējā dienā līdz nākamā mēneša 5. datumam.</w:t>
      </w:r>
      <w:r w:rsidR="00122950">
        <w:rPr>
          <w:bCs/>
          <w:szCs w:val="24"/>
          <w:lang w:eastAsia="lv-LV"/>
        </w:rPr>
        <w:t xml:space="preserve"> </w:t>
      </w:r>
      <w:r w:rsidR="00122950" w:rsidRPr="00391D62">
        <w:rPr>
          <w:bCs/>
          <w:szCs w:val="24"/>
          <w:lang w:eastAsia="lv-LV"/>
        </w:rPr>
        <w:t xml:space="preserve">Ja noguldījumu piesaistītājs konstatē, ka informācijā par garantēto atlīdzību, kas Komisijai iesniegta noguldījumu nepieejamības iestāšanās gadījumā, nepieciešams veikt precizējumus, noguldījumu piesaistītājs nekavējoties par to informē Komisiju un iesniedz precizēto informāciju saskaņā ar šo noteikumu </w:t>
      </w:r>
      <w:r w:rsidR="00122950">
        <w:rPr>
          <w:bCs/>
          <w:szCs w:val="24"/>
          <w:lang w:eastAsia="lv-LV"/>
        </w:rPr>
        <w:t>11</w:t>
      </w:r>
      <w:r w:rsidR="00122950" w:rsidRPr="00391D62">
        <w:rPr>
          <w:bCs/>
          <w:szCs w:val="24"/>
          <w:lang w:eastAsia="lv-LV"/>
        </w:rPr>
        <w:t>.</w:t>
      </w:r>
      <w:r w:rsidR="00122950">
        <w:rPr>
          <w:bCs/>
          <w:szCs w:val="24"/>
          <w:lang w:eastAsia="lv-LV"/>
        </w:rPr>
        <w:t>,</w:t>
      </w:r>
      <w:r w:rsidR="00122950" w:rsidRPr="00391D62">
        <w:rPr>
          <w:bCs/>
          <w:szCs w:val="24"/>
          <w:lang w:eastAsia="lv-LV"/>
        </w:rPr>
        <w:t xml:space="preserve"> </w:t>
      </w:r>
      <w:r w:rsidR="00122950">
        <w:rPr>
          <w:bCs/>
          <w:szCs w:val="24"/>
          <w:lang w:eastAsia="lv-LV"/>
        </w:rPr>
        <w:t>12., 13. un 14.</w:t>
      </w:r>
      <w:r w:rsidR="00122950" w:rsidRPr="00391D62">
        <w:rPr>
          <w:bCs/>
          <w:szCs w:val="24"/>
          <w:lang w:eastAsia="lv-LV"/>
        </w:rPr>
        <w:t xml:space="preserve"> punkta prasībām, ietverot datus tikai par tiem noguldītājiem, kuru informācija ir precizēta vai pievienota no jauna. Precizējumi, kas attiecas uz ieturētajām komisijas maksām par noguldījumu piesaistītāja līdz noguldījumu nepieejamības iestāšanās dienai sniegtajiem pakalpojumiem, var tikt iesniegti ne vēlāk kā septiņas dienas pēc noguldījumu nepieejamības iestāšanās dienas.</w:t>
      </w:r>
    </w:p>
    <w:p w14:paraId="5D17C856" w14:textId="77777777" w:rsidR="00AD6309" w:rsidRPr="000971CA" w:rsidRDefault="00AD6309">
      <w:pPr>
        <w:ind w:right="-1" w:firstLine="567"/>
        <w:rPr>
          <w:bCs/>
          <w:szCs w:val="24"/>
          <w:lang w:eastAsia="lv-LV"/>
        </w:rPr>
      </w:pPr>
    </w:p>
    <w:p w14:paraId="746D7929" w14:textId="6FB61818" w:rsidR="00B5352F" w:rsidRPr="000971CA" w:rsidRDefault="002203CA">
      <w:pPr>
        <w:ind w:right="-1" w:firstLine="567"/>
        <w:rPr>
          <w:bCs/>
          <w:szCs w:val="24"/>
          <w:lang w:eastAsia="lv-LV"/>
        </w:rPr>
      </w:pPr>
      <w:r w:rsidRPr="000971CA">
        <w:rPr>
          <w:bCs/>
          <w:szCs w:val="24"/>
          <w:lang w:eastAsia="lv-LV"/>
        </w:rPr>
        <w:t>19</w:t>
      </w:r>
      <w:r w:rsidR="00B5352F" w:rsidRPr="000971CA">
        <w:rPr>
          <w:bCs/>
          <w:szCs w:val="24"/>
          <w:lang w:eastAsia="lv-LV"/>
        </w:rPr>
        <w:t>. Ja Komisija konstatē, ka noguldījumu piesaistītāja sniegtā informācija par garantēto atlīdzību neatbilst aktuālajai situācijai noguldījumu nepieejamības iestāšanās dienas vai Komisijas pieprasījumā norādītās dienas beigās, Komisija informē par to noguldījumu piesaistītāju, un tas vienas dienas laikā sniedz Komisijai precizētu informāciju saskaņā ar</w:t>
      </w:r>
      <w:r w:rsidR="00161B96" w:rsidRPr="000971CA">
        <w:rPr>
          <w:bCs/>
          <w:szCs w:val="24"/>
          <w:lang w:eastAsia="lv-LV"/>
        </w:rPr>
        <w:t xml:space="preserve"> šo</w:t>
      </w:r>
      <w:r w:rsidR="00B5352F" w:rsidRPr="000971CA">
        <w:rPr>
          <w:bCs/>
          <w:szCs w:val="24"/>
          <w:lang w:eastAsia="lv-LV"/>
        </w:rPr>
        <w:t xml:space="preserve"> noteikumu </w:t>
      </w:r>
      <w:r w:rsidR="00C925DB" w:rsidRPr="000971CA">
        <w:rPr>
          <w:bCs/>
          <w:szCs w:val="24"/>
          <w:lang w:eastAsia="lv-LV"/>
        </w:rPr>
        <w:t>11</w:t>
      </w:r>
      <w:r w:rsidR="00B5352F" w:rsidRPr="000971CA">
        <w:rPr>
          <w:bCs/>
          <w:szCs w:val="24"/>
          <w:lang w:eastAsia="lv-LV"/>
        </w:rPr>
        <w:t>.</w:t>
      </w:r>
      <w:r w:rsidR="006C40C4" w:rsidRPr="000971CA">
        <w:rPr>
          <w:bCs/>
          <w:szCs w:val="24"/>
          <w:lang w:eastAsia="lv-LV"/>
        </w:rPr>
        <w:t xml:space="preserve">, </w:t>
      </w:r>
      <w:r w:rsidR="00C925DB" w:rsidRPr="000971CA">
        <w:rPr>
          <w:bCs/>
          <w:szCs w:val="24"/>
          <w:lang w:eastAsia="lv-LV"/>
        </w:rPr>
        <w:t>12</w:t>
      </w:r>
      <w:r w:rsidR="004B4633" w:rsidRPr="000971CA">
        <w:rPr>
          <w:bCs/>
          <w:szCs w:val="24"/>
          <w:lang w:eastAsia="lv-LV"/>
        </w:rPr>
        <w:t>.</w:t>
      </w:r>
      <w:r w:rsidR="00C925DB" w:rsidRPr="000971CA">
        <w:rPr>
          <w:bCs/>
          <w:szCs w:val="24"/>
          <w:lang w:eastAsia="lv-LV"/>
        </w:rPr>
        <w:t xml:space="preserve"> </w:t>
      </w:r>
      <w:r w:rsidR="006C40C4" w:rsidRPr="000971CA">
        <w:rPr>
          <w:bCs/>
          <w:szCs w:val="24"/>
          <w:lang w:eastAsia="lv-LV"/>
        </w:rPr>
        <w:t xml:space="preserve">un </w:t>
      </w:r>
      <w:r w:rsidR="00C925DB" w:rsidRPr="000971CA">
        <w:rPr>
          <w:bCs/>
          <w:szCs w:val="24"/>
          <w:lang w:eastAsia="lv-LV"/>
        </w:rPr>
        <w:t>1</w:t>
      </w:r>
      <w:r w:rsidR="002C6C75">
        <w:rPr>
          <w:bCs/>
          <w:szCs w:val="24"/>
          <w:lang w:eastAsia="lv-LV"/>
        </w:rPr>
        <w:t>6</w:t>
      </w:r>
      <w:r w:rsidR="006C40C4" w:rsidRPr="000971CA">
        <w:rPr>
          <w:bCs/>
          <w:szCs w:val="24"/>
          <w:lang w:eastAsia="lv-LV"/>
        </w:rPr>
        <w:t>.</w:t>
      </w:r>
      <w:r w:rsidR="00B5352F" w:rsidRPr="000971CA">
        <w:rPr>
          <w:bCs/>
          <w:szCs w:val="24"/>
          <w:lang w:eastAsia="lv-LV"/>
        </w:rPr>
        <w:t xml:space="preserve"> punkta prasībām.</w:t>
      </w:r>
    </w:p>
    <w:p w14:paraId="26CE05A5" w14:textId="77777777" w:rsidR="00AD6309" w:rsidRPr="000971CA" w:rsidRDefault="00AD6309">
      <w:pPr>
        <w:ind w:right="-1" w:firstLine="567"/>
        <w:rPr>
          <w:bCs/>
          <w:szCs w:val="24"/>
          <w:lang w:eastAsia="lv-LV"/>
        </w:rPr>
      </w:pPr>
    </w:p>
    <w:p w14:paraId="48BB4636" w14:textId="4E68C8B5" w:rsidR="00B5352F" w:rsidRPr="000971CA" w:rsidRDefault="002203CA">
      <w:pPr>
        <w:ind w:right="-1" w:firstLine="567"/>
        <w:rPr>
          <w:bCs/>
          <w:szCs w:val="24"/>
          <w:lang w:eastAsia="lv-LV"/>
        </w:rPr>
      </w:pPr>
      <w:r w:rsidRPr="000971CA">
        <w:rPr>
          <w:bCs/>
          <w:szCs w:val="24"/>
          <w:lang w:eastAsia="lv-LV"/>
        </w:rPr>
        <w:t>20</w:t>
      </w:r>
      <w:r w:rsidR="00B5352F" w:rsidRPr="000971CA">
        <w:rPr>
          <w:bCs/>
          <w:szCs w:val="24"/>
          <w:lang w:eastAsia="lv-LV"/>
        </w:rPr>
        <w:t xml:space="preserve">. Komisija, uzraugot </w:t>
      </w:r>
      <w:r w:rsidR="00161B96" w:rsidRPr="000971CA">
        <w:rPr>
          <w:bCs/>
          <w:szCs w:val="24"/>
          <w:lang w:eastAsia="lv-LV"/>
        </w:rPr>
        <w:t xml:space="preserve">šo </w:t>
      </w:r>
      <w:r w:rsidR="00B5352F" w:rsidRPr="000971CA">
        <w:rPr>
          <w:bCs/>
          <w:szCs w:val="24"/>
          <w:lang w:eastAsia="lv-LV"/>
        </w:rPr>
        <w:t xml:space="preserve">noteikumu izpildi, var veikt klātienes pārbaudes un neklātienes uzraudzību un var pieprasīt noguldījumu piesaistītājam </w:t>
      </w:r>
      <w:r w:rsidR="00161B96" w:rsidRPr="000971CA">
        <w:rPr>
          <w:bCs/>
          <w:szCs w:val="24"/>
          <w:lang w:eastAsia="lv-LV"/>
        </w:rPr>
        <w:t xml:space="preserve">šo </w:t>
      </w:r>
      <w:r w:rsidR="00B5352F" w:rsidRPr="000971CA">
        <w:rPr>
          <w:bCs/>
          <w:szCs w:val="24"/>
          <w:lang w:eastAsia="lv-LV"/>
        </w:rPr>
        <w:t xml:space="preserve">noteikumu </w:t>
      </w:r>
      <w:r w:rsidR="00C925DB" w:rsidRPr="000971CA">
        <w:rPr>
          <w:bCs/>
          <w:szCs w:val="24"/>
          <w:lang w:eastAsia="lv-LV"/>
        </w:rPr>
        <w:t>11</w:t>
      </w:r>
      <w:r w:rsidR="00B5352F" w:rsidRPr="000971CA">
        <w:rPr>
          <w:bCs/>
          <w:szCs w:val="24"/>
          <w:lang w:eastAsia="lv-LV"/>
        </w:rPr>
        <w:t xml:space="preserve">., </w:t>
      </w:r>
      <w:r w:rsidR="00C925DB" w:rsidRPr="000971CA">
        <w:rPr>
          <w:bCs/>
          <w:szCs w:val="24"/>
          <w:lang w:eastAsia="lv-LV"/>
        </w:rPr>
        <w:t>12</w:t>
      </w:r>
      <w:r w:rsidR="004B4633" w:rsidRPr="000971CA">
        <w:rPr>
          <w:bCs/>
          <w:szCs w:val="24"/>
          <w:lang w:eastAsia="lv-LV"/>
        </w:rPr>
        <w:t>.</w:t>
      </w:r>
      <w:r w:rsidR="00E76A0D" w:rsidRPr="000971CA">
        <w:rPr>
          <w:bCs/>
          <w:szCs w:val="24"/>
          <w:lang w:eastAsia="lv-LV"/>
        </w:rPr>
        <w:t xml:space="preserve">, </w:t>
      </w:r>
      <w:r w:rsidR="00C925DB" w:rsidRPr="000971CA">
        <w:rPr>
          <w:bCs/>
          <w:szCs w:val="24"/>
          <w:lang w:eastAsia="lv-LV"/>
        </w:rPr>
        <w:t>13</w:t>
      </w:r>
      <w:r w:rsidR="004B4633" w:rsidRPr="000971CA">
        <w:rPr>
          <w:bCs/>
          <w:szCs w:val="24"/>
          <w:lang w:eastAsia="lv-LV"/>
        </w:rPr>
        <w:t>.</w:t>
      </w:r>
      <w:r w:rsidR="00E76A0D" w:rsidRPr="000971CA">
        <w:rPr>
          <w:bCs/>
          <w:szCs w:val="24"/>
          <w:lang w:eastAsia="lv-LV"/>
        </w:rPr>
        <w:t xml:space="preserve">, </w:t>
      </w:r>
      <w:r w:rsidR="00C925DB" w:rsidRPr="000971CA">
        <w:rPr>
          <w:bCs/>
          <w:szCs w:val="24"/>
          <w:lang w:eastAsia="lv-LV"/>
        </w:rPr>
        <w:t>14</w:t>
      </w:r>
      <w:r w:rsidR="004B4633" w:rsidRPr="000971CA">
        <w:rPr>
          <w:bCs/>
          <w:szCs w:val="24"/>
          <w:lang w:eastAsia="lv-LV"/>
        </w:rPr>
        <w:t>.</w:t>
      </w:r>
      <w:r w:rsidR="002E2033">
        <w:rPr>
          <w:bCs/>
          <w:szCs w:val="24"/>
          <w:lang w:eastAsia="lv-LV"/>
        </w:rPr>
        <w:t xml:space="preserve"> un</w:t>
      </w:r>
      <w:r w:rsidR="00B5352F" w:rsidRPr="000971CA">
        <w:rPr>
          <w:bCs/>
          <w:szCs w:val="24"/>
          <w:lang w:eastAsia="lv-LV"/>
        </w:rPr>
        <w:t xml:space="preserve"> </w:t>
      </w:r>
      <w:r w:rsidR="00C925DB" w:rsidRPr="000971CA">
        <w:rPr>
          <w:bCs/>
          <w:szCs w:val="24"/>
          <w:lang w:eastAsia="lv-LV"/>
        </w:rPr>
        <w:t>16</w:t>
      </w:r>
      <w:r w:rsidR="002E2033">
        <w:rPr>
          <w:bCs/>
          <w:szCs w:val="24"/>
          <w:lang w:eastAsia="lv-LV"/>
        </w:rPr>
        <w:t>.</w:t>
      </w:r>
      <w:r w:rsidR="00796843">
        <w:rPr>
          <w:bCs/>
          <w:szCs w:val="24"/>
          <w:lang w:eastAsia="lv-LV"/>
        </w:rPr>
        <w:t> </w:t>
      </w:r>
      <w:r w:rsidR="00B5352F" w:rsidRPr="000971CA">
        <w:rPr>
          <w:bCs/>
          <w:szCs w:val="24"/>
          <w:lang w:eastAsia="lv-LV"/>
        </w:rPr>
        <w:t xml:space="preserve">punktā noteiktajā veidā un apjomā apkopoto informāciju par garantēto atlīdzību iesniegt </w:t>
      </w:r>
      <w:r w:rsidR="00B5352F" w:rsidRPr="000971CA">
        <w:rPr>
          <w:bCs/>
          <w:szCs w:val="24"/>
          <w:lang w:eastAsia="lv-LV"/>
        </w:rPr>
        <w:lastRenderedPageBreak/>
        <w:t>vienas dienas laikā elektroniski</w:t>
      </w:r>
      <w:r w:rsidR="008B4095" w:rsidRPr="000971CA">
        <w:rPr>
          <w:bCs/>
          <w:szCs w:val="24"/>
          <w:lang w:eastAsia="lv-LV"/>
        </w:rPr>
        <w:t xml:space="preserve"> arhivētas</w:t>
      </w:r>
      <w:r w:rsidR="00CE7C26" w:rsidRPr="000971CA">
        <w:rPr>
          <w:bCs/>
          <w:szCs w:val="24"/>
          <w:lang w:eastAsia="lv-LV"/>
        </w:rPr>
        <w:t xml:space="preserve"> un šifrētas</w:t>
      </w:r>
      <w:r w:rsidR="008B4095" w:rsidRPr="000971CA">
        <w:rPr>
          <w:bCs/>
          <w:szCs w:val="24"/>
          <w:lang w:eastAsia="lv-LV"/>
        </w:rPr>
        <w:t xml:space="preserve"> datnes veidā, lietojot Komisijas publisko atslēgu http://www.fktk.lv/texts_files/0_FKTK_Paraksts.asc,</w:t>
      </w:r>
      <w:r w:rsidR="00B5352F" w:rsidRPr="000971CA">
        <w:rPr>
          <w:bCs/>
          <w:szCs w:val="24"/>
          <w:lang w:eastAsia="lv-LV"/>
        </w:rPr>
        <w:t xml:space="preserve"> par stāvokli pieprasījumā norādītās dienas beigās.</w:t>
      </w:r>
    </w:p>
    <w:p w14:paraId="53815318" w14:textId="77777777" w:rsidR="00AD6309" w:rsidRPr="000971CA" w:rsidRDefault="00AD6309">
      <w:pPr>
        <w:ind w:right="-1" w:firstLine="567"/>
        <w:rPr>
          <w:bCs/>
          <w:szCs w:val="24"/>
          <w:lang w:eastAsia="lv-LV"/>
        </w:rPr>
      </w:pPr>
    </w:p>
    <w:p w14:paraId="235D9284" w14:textId="64A7DB00" w:rsidR="00B5352F" w:rsidRPr="000971CA" w:rsidRDefault="002203CA">
      <w:pPr>
        <w:ind w:right="-1" w:firstLine="567"/>
        <w:rPr>
          <w:bCs/>
          <w:szCs w:val="24"/>
          <w:lang w:eastAsia="lv-LV"/>
        </w:rPr>
      </w:pPr>
      <w:r w:rsidRPr="000971CA">
        <w:rPr>
          <w:bCs/>
          <w:szCs w:val="24"/>
          <w:lang w:eastAsia="lv-LV"/>
        </w:rPr>
        <w:t>21</w:t>
      </w:r>
      <w:r w:rsidR="003C0F28" w:rsidRPr="000971CA">
        <w:rPr>
          <w:bCs/>
          <w:szCs w:val="24"/>
          <w:lang w:eastAsia="lv-LV"/>
        </w:rPr>
        <w:t xml:space="preserve">. </w:t>
      </w:r>
      <w:r w:rsidR="002E2033" w:rsidRPr="008C14B1">
        <w:rPr>
          <w:bCs/>
          <w:szCs w:val="24"/>
          <w:lang w:eastAsia="lv-LV"/>
        </w:rPr>
        <w:t>Noguldījumu piesaistītājs integritātes riska samazināšanas nolūkā</w:t>
      </w:r>
      <w:r w:rsidR="002E2033">
        <w:rPr>
          <w:bCs/>
          <w:szCs w:val="24"/>
          <w:lang w:eastAsia="lv-LV"/>
        </w:rPr>
        <w:t xml:space="preserve"> testa veidā sagatavo informāciju par garantēto atlīdzību vienu reizi gadā </w:t>
      </w:r>
      <w:r w:rsidR="002E2033" w:rsidRPr="008C14B1">
        <w:rPr>
          <w:bCs/>
          <w:szCs w:val="24"/>
          <w:lang w:eastAsia="lv-LV"/>
        </w:rPr>
        <w:t>šo noteikumu</w:t>
      </w:r>
      <w:r w:rsidR="002E2033">
        <w:rPr>
          <w:bCs/>
          <w:szCs w:val="24"/>
          <w:lang w:eastAsia="lv-LV"/>
        </w:rPr>
        <w:t xml:space="preserve"> 11</w:t>
      </w:r>
      <w:r w:rsidR="002E2033" w:rsidRPr="00391D62">
        <w:rPr>
          <w:bCs/>
          <w:szCs w:val="24"/>
          <w:lang w:eastAsia="lv-LV"/>
        </w:rPr>
        <w:t xml:space="preserve">., </w:t>
      </w:r>
      <w:r w:rsidR="002E2033">
        <w:rPr>
          <w:bCs/>
          <w:szCs w:val="24"/>
          <w:lang w:eastAsia="lv-LV"/>
        </w:rPr>
        <w:t>12.</w:t>
      </w:r>
      <w:r w:rsidR="002E2033" w:rsidRPr="00391D62">
        <w:rPr>
          <w:bCs/>
          <w:szCs w:val="24"/>
          <w:lang w:eastAsia="lv-LV"/>
        </w:rPr>
        <w:t xml:space="preserve">, </w:t>
      </w:r>
      <w:r w:rsidR="002E2033">
        <w:rPr>
          <w:bCs/>
          <w:szCs w:val="24"/>
          <w:lang w:eastAsia="lv-LV"/>
        </w:rPr>
        <w:t>13.</w:t>
      </w:r>
      <w:r w:rsidR="002E2033" w:rsidRPr="00391D62">
        <w:rPr>
          <w:bCs/>
          <w:szCs w:val="24"/>
          <w:lang w:eastAsia="lv-LV"/>
        </w:rPr>
        <w:t xml:space="preserve">, </w:t>
      </w:r>
      <w:r w:rsidR="002E2033" w:rsidRPr="00C925DB">
        <w:rPr>
          <w:bCs/>
          <w:szCs w:val="24"/>
          <w:lang w:eastAsia="lv-LV"/>
        </w:rPr>
        <w:t>14</w:t>
      </w:r>
      <w:r w:rsidR="002E2033">
        <w:rPr>
          <w:bCs/>
          <w:szCs w:val="24"/>
          <w:lang w:eastAsia="lv-LV"/>
        </w:rPr>
        <w:t>. un 16.</w:t>
      </w:r>
      <w:r w:rsidR="002E2033" w:rsidRPr="008C14B1">
        <w:rPr>
          <w:bCs/>
          <w:szCs w:val="24"/>
          <w:lang w:eastAsia="lv-LV"/>
        </w:rPr>
        <w:t xml:space="preserve"> punktā </w:t>
      </w:r>
      <w:r w:rsidR="002E2033">
        <w:rPr>
          <w:bCs/>
          <w:szCs w:val="24"/>
          <w:lang w:eastAsia="lv-LV"/>
        </w:rPr>
        <w:t>noteikt</w:t>
      </w:r>
      <w:r w:rsidR="00E808E2">
        <w:rPr>
          <w:bCs/>
          <w:szCs w:val="24"/>
          <w:lang w:eastAsia="lv-LV"/>
        </w:rPr>
        <w:t>aj</w:t>
      </w:r>
      <w:r w:rsidR="002E2033">
        <w:rPr>
          <w:bCs/>
          <w:szCs w:val="24"/>
          <w:lang w:eastAsia="lv-LV"/>
        </w:rPr>
        <w:t>ā veidā un apjomā</w:t>
      </w:r>
      <w:r w:rsidR="002E2033" w:rsidRPr="008C14B1">
        <w:rPr>
          <w:bCs/>
          <w:szCs w:val="24"/>
          <w:lang w:eastAsia="lv-LV"/>
        </w:rPr>
        <w:t>.</w:t>
      </w:r>
      <w:r w:rsidR="002E2033" w:rsidRPr="00391D62">
        <w:rPr>
          <w:bCs/>
          <w:szCs w:val="24"/>
          <w:lang w:eastAsia="lv-LV"/>
        </w:rPr>
        <w:t xml:space="preserve"> Noguldījumu piesaistītājs</w:t>
      </w:r>
      <w:r w:rsidR="002E2033">
        <w:rPr>
          <w:bCs/>
          <w:szCs w:val="24"/>
          <w:lang w:eastAsia="lv-LV"/>
        </w:rPr>
        <w:t xml:space="preserve">, </w:t>
      </w:r>
      <w:r w:rsidR="002E2033" w:rsidRPr="00665B0A">
        <w:rPr>
          <w:bCs/>
          <w:szCs w:val="24"/>
          <w:lang w:eastAsia="lv-LV"/>
        </w:rPr>
        <w:t xml:space="preserve">kura garantētās atlīdzības saņēmēju skaits ir </w:t>
      </w:r>
      <w:r w:rsidR="002E2033">
        <w:rPr>
          <w:bCs/>
          <w:szCs w:val="24"/>
          <w:lang w:eastAsia="lv-LV"/>
        </w:rPr>
        <w:t>mazāks</w:t>
      </w:r>
      <w:r w:rsidR="002E2033" w:rsidRPr="00665B0A">
        <w:rPr>
          <w:bCs/>
          <w:szCs w:val="24"/>
          <w:lang w:eastAsia="lv-LV"/>
        </w:rPr>
        <w:t xml:space="preserve"> par četriem simtiem</w:t>
      </w:r>
      <w:r w:rsidR="002E2033">
        <w:rPr>
          <w:bCs/>
          <w:szCs w:val="24"/>
          <w:lang w:eastAsia="lv-LV"/>
        </w:rPr>
        <w:t>,</w:t>
      </w:r>
      <w:r w:rsidR="002E2033" w:rsidRPr="00391D62">
        <w:rPr>
          <w:bCs/>
          <w:szCs w:val="24"/>
          <w:lang w:eastAsia="lv-LV"/>
        </w:rPr>
        <w:t xml:space="preserve"> integritātes riska samazināšanas nolūkā sagatavo </w:t>
      </w:r>
      <w:r w:rsidR="002E2033">
        <w:rPr>
          <w:bCs/>
          <w:szCs w:val="24"/>
          <w:lang w:eastAsia="lv-LV"/>
        </w:rPr>
        <w:t xml:space="preserve">informāciju par garantēto atlīdzību </w:t>
      </w:r>
      <w:r w:rsidR="002E2033" w:rsidRPr="00391D62">
        <w:rPr>
          <w:bCs/>
          <w:szCs w:val="24"/>
          <w:lang w:eastAsia="lv-LV"/>
        </w:rPr>
        <w:t xml:space="preserve">šo noteikumu </w:t>
      </w:r>
      <w:r w:rsidR="002E2033">
        <w:rPr>
          <w:bCs/>
          <w:szCs w:val="24"/>
          <w:lang w:eastAsia="lv-LV"/>
        </w:rPr>
        <w:t>11</w:t>
      </w:r>
      <w:r w:rsidR="002E2033" w:rsidRPr="00391D62">
        <w:rPr>
          <w:bCs/>
          <w:szCs w:val="24"/>
          <w:lang w:eastAsia="lv-LV"/>
        </w:rPr>
        <w:t xml:space="preserve">., </w:t>
      </w:r>
      <w:r w:rsidR="002E2033">
        <w:rPr>
          <w:bCs/>
          <w:szCs w:val="24"/>
          <w:lang w:eastAsia="lv-LV"/>
        </w:rPr>
        <w:t>12.</w:t>
      </w:r>
      <w:r w:rsidR="002E2033" w:rsidRPr="00391D62">
        <w:rPr>
          <w:bCs/>
          <w:szCs w:val="24"/>
          <w:lang w:eastAsia="lv-LV"/>
        </w:rPr>
        <w:t xml:space="preserve">, </w:t>
      </w:r>
      <w:r w:rsidR="002E2033">
        <w:rPr>
          <w:bCs/>
          <w:szCs w:val="24"/>
          <w:lang w:eastAsia="lv-LV"/>
        </w:rPr>
        <w:t>13.</w:t>
      </w:r>
      <w:r w:rsidR="002E2033" w:rsidRPr="00391D62">
        <w:rPr>
          <w:bCs/>
          <w:szCs w:val="24"/>
          <w:lang w:eastAsia="lv-LV"/>
        </w:rPr>
        <w:t xml:space="preserve">, </w:t>
      </w:r>
      <w:r w:rsidR="002E2033" w:rsidRPr="00C925DB">
        <w:rPr>
          <w:bCs/>
          <w:szCs w:val="24"/>
          <w:lang w:eastAsia="lv-LV"/>
        </w:rPr>
        <w:t>14</w:t>
      </w:r>
      <w:r w:rsidR="002E2033">
        <w:rPr>
          <w:bCs/>
          <w:szCs w:val="24"/>
          <w:lang w:eastAsia="lv-LV"/>
        </w:rPr>
        <w:t>. un 16.</w:t>
      </w:r>
      <w:r w:rsidR="002E2033" w:rsidRPr="008C14B1">
        <w:rPr>
          <w:bCs/>
          <w:szCs w:val="24"/>
          <w:lang w:eastAsia="lv-LV"/>
        </w:rPr>
        <w:t xml:space="preserve"> punktā </w:t>
      </w:r>
      <w:r w:rsidR="002E2033">
        <w:rPr>
          <w:bCs/>
          <w:szCs w:val="24"/>
          <w:lang w:eastAsia="lv-LV"/>
        </w:rPr>
        <w:t>noteikt</w:t>
      </w:r>
      <w:r w:rsidR="00E808E2">
        <w:rPr>
          <w:bCs/>
          <w:szCs w:val="24"/>
          <w:lang w:eastAsia="lv-LV"/>
        </w:rPr>
        <w:t>aj</w:t>
      </w:r>
      <w:r w:rsidR="002E2033">
        <w:rPr>
          <w:bCs/>
          <w:szCs w:val="24"/>
          <w:lang w:eastAsia="lv-LV"/>
        </w:rPr>
        <w:t>ā veidā un apjomā</w:t>
      </w:r>
      <w:r w:rsidR="002E2033" w:rsidRPr="00391D62" w:rsidDel="00950EAE">
        <w:rPr>
          <w:bCs/>
          <w:szCs w:val="24"/>
          <w:lang w:eastAsia="lv-LV"/>
        </w:rPr>
        <w:t xml:space="preserve"> </w:t>
      </w:r>
      <w:r w:rsidR="002E2033" w:rsidRPr="00391D62">
        <w:rPr>
          <w:bCs/>
          <w:szCs w:val="24"/>
          <w:lang w:eastAsia="lv-LV"/>
        </w:rPr>
        <w:t xml:space="preserve">par </w:t>
      </w:r>
      <w:r w:rsidR="002E2033">
        <w:rPr>
          <w:bCs/>
          <w:szCs w:val="24"/>
          <w:lang w:eastAsia="lv-LV"/>
        </w:rPr>
        <w:t>stāvokli katra mēneša pēdējās dienas beigās un uzglabā vismaz līdz nākamā faila sagatavošanai</w:t>
      </w:r>
      <w:r w:rsidR="00854E0B" w:rsidRPr="00391D62">
        <w:rPr>
          <w:bCs/>
          <w:szCs w:val="24"/>
          <w:lang w:eastAsia="lv-LV"/>
        </w:rPr>
        <w:t xml:space="preserve"> vietā ar samazinātu integritātes un konfidencialitātes risku.</w:t>
      </w:r>
    </w:p>
    <w:p w14:paraId="5B07FDC0" w14:textId="77777777" w:rsidR="00727F43" w:rsidRPr="000971CA" w:rsidRDefault="00727F43" w:rsidP="002E2033">
      <w:pPr>
        <w:ind w:right="-1"/>
        <w:rPr>
          <w:bCs/>
          <w:szCs w:val="24"/>
          <w:lang w:eastAsia="lv-LV"/>
        </w:rPr>
      </w:pPr>
    </w:p>
    <w:p w14:paraId="473AF4AA" w14:textId="24E8A963" w:rsidR="00854E0B" w:rsidRPr="00FC59A7" w:rsidRDefault="00854E0B" w:rsidP="006C3A5F">
      <w:pPr>
        <w:ind w:right="-1"/>
        <w:jc w:val="center"/>
        <w:rPr>
          <w:b/>
          <w:bCs/>
          <w:sz w:val="26"/>
          <w:szCs w:val="26"/>
          <w:lang w:eastAsia="lv-LV"/>
        </w:rPr>
      </w:pPr>
      <w:r w:rsidRPr="00FC59A7">
        <w:rPr>
          <w:b/>
          <w:bCs/>
          <w:sz w:val="26"/>
          <w:szCs w:val="26"/>
          <w:lang w:eastAsia="lv-LV"/>
        </w:rPr>
        <w:t>III</w:t>
      </w:r>
      <w:r>
        <w:rPr>
          <w:b/>
          <w:bCs/>
          <w:sz w:val="26"/>
          <w:szCs w:val="26"/>
          <w:lang w:eastAsia="lv-LV"/>
        </w:rPr>
        <w:t>.</w:t>
      </w:r>
      <w:r w:rsidRPr="00FC59A7">
        <w:rPr>
          <w:b/>
          <w:bCs/>
          <w:sz w:val="26"/>
          <w:szCs w:val="26"/>
          <w:lang w:eastAsia="lv-LV"/>
        </w:rPr>
        <w:t xml:space="preserve"> </w:t>
      </w:r>
      <w:r>
        <w:rPr>
          <w:b/>
          <w:bCs/>
          <w:sz w:val="26"/>
          <w:szCs w:val="26"/>
          <w:lang w:eastAsia="lv-LV"/>
        </w:rPr>
        <w:t>Pārejas noteikum</w:t>
      </w:r>
      <w:r w:rsidR="006C3A5F">
        <w:rPr>
          <w:b/>
          <w:bCs/>
          <w:sz w:val="26"/>
          <w:szCs w:val="26"/>
          <w:lang w:eastAsia="lv-LV"/>
        </w:rPr>
        <w:t>s</w:t>
      </w:r>
    </w:p>
    <w:p w14:paraId="3BC8F6B3" w14:textId="77777777" w:rsidR="00854E0B" w:rsidRDefault="00854E0B" w:rsidP="00854E0B">
      <w:pPr>
        <w:ind w:right="-1" w:firstLine="567"/>
        <w:rPr>
          <w:bCs/>
          <w:szCs w:val="24"/>
          <w:lang w:eastAsia="lv-LV"/>
        </w:rPr>
      </w:pPr>
    </w:p>
    <w:p w14:paraId="27ACFBCF" w14:textId="36405D12" w:rsidR="00854E0B" w:rsidRDefault="00854E0B" w:rsidP="00854E0B">
      <w:pPr>
        <w:ind w:right="-1" w:firstLine="567"/>
        <w:rPr>
          <w:bCs/>
          <w:szCs w:val="24"/>
          <w:lang w:eastAsia="lv-LV"/>
        </w:rPr>
      </w:pPr>
      <w:r>
        <w:rPr>
          <w:bCs/>
          <w:szCs w:val="24"/>
          <w:lang w:eastAsia="lv-LV"/>
        </w:rPr>
        <w:t>2</w:t>
      </w:r>
      <w:r w:rsidR="006C3A5F">
        <w:rPr>
          <w:bCs/>
          <w:szCs w:val="24"/>
          <w:lang w:eastAsia="lv-LV"/>
        </w:rPr>
        <w:t>2</w:t>
      </w:r>
      <w:r>
        <w:rPr>
          <w:bCs/>
          <w:szCs w:val="24"/>
          <w:lang w:eastAsia="lv-LV"/>
        </w:rPr>
        <w:t xml:space="preserve">. Papildu prasības, kas </w:t>
      </w:r>
      <w:r w:rsidR="00E808E2">
        <w:rPr>
          <w:bCs/>
          <w:szCs w:val="24"/>
          <w:lang w:eastAsia="lv-LV"/>
        </w:rPr>
        <w:t xml:space="preserve">noteiktas </w:t>
      </w:r>
      <w:r>
        <w:rPr>
          <w:rFonts w:eastAsia="Arial Unicode MS"/>
          <w:noProof/>
          <w:szCs w:val="24"/>
        </w:rPr>
        <w:t>šo noteikumu 5.5. un 5.7. apakšpunktā</w:t>
      </w:r>
      <w:r w:rsidRPr="006A6632">
        <w:rPr>
          <w:rFonts w:eastAsia="Arial Unicode MS"/>
          <w:noProof/>
          <w:szCs w:val="24"/>
        </w:rPr>
        <w:t xml:space="preserve"> un 7.</w:t>
      </w:r>
      <w:r>
        <w:rPr>
          <w:rFonts w:eastAsia="Arial Unicode MS"/>
          <w:noProof/>
          <w:szCs w:val="24"/>
        </w:rPr>
        <w:t xml:space="preserve">, </w:t>
      </w:r>
      <w:r w:rsidRPr="006A6632">
        <w:rPr>
          <w:rFonts w:eastAsia="Arial Unicode MS"/>
          <w:noProof/>
          <w:szCs w:val="24"/>
        </w:rPr>
        <w:t xml:space="preserve"> 12.</w:t>
      </w:r>
      <w:r>
        <w:rPr>
          <w:rFonts w:eastAsia="Arial Unicode MS"/>
          <w:noProof/>
          <w:szCs w:val="24"/>
        </w:rPr>
        <w:t xml:space="preserve"> un 15.</w:t>
      </w:r>
      <w:r w:rsidR="00E808E2">
        <w:rPr>
          <w:rFonts w:eastAsia="Arial Unicode MS"/>
          <w:noProof/>
          <w:szCs w:val="24"/>
        </w:rPr>
        <w:t> </w:t>
      </w:r>
      <w:r w:rsidRPr="006A6632">
        <w:rPr>
          <w:rFonts w:eastAsia="Arial Unicode MS"/>
          <w:noProof/>
          <w:szCs w:val="24"/>
        </w:rPr>
        <w:t>punkt</w:t>
      </w:r>
      <w:r>
        <w:rPr>
          <w:rFonts w:eastAsia="Arial Unicode MS"/>
          <w:noProof/>
          <w:szCs w:val="24"/>
        </w:rPr>
        <w:t xml:space="preserve">ā, </w:t>
      </w:r>
      <w:r w:rsidRPr="006A6632">
        <w:rPr>
          <w:rFonts w:eastAsia="Arial Unicode MS"/>
          <w:noProof/>
          <w:szCs w:val="24"/>
        </w:rPr>
        <w:t>stājas spēkā 2021.</w:t>
      </w:r>
      <w:r>
        <w:rPr>
          <w:rFonts w:eastAsia="Arial Unicode MS"/>
          <w:noProof/>
          <w:szCs w:val="24"/>
        </w:rPr>
        <w:t xml:space="preserve"> </w:t>
      </w:r>
      <w:r w:rsidRPr="006A6632">
        <w:rPr>
          <w:rFonts w:eastAsia="Arial Unicode MS"/>
          <w:noProof/>
          <w:szCs w:val="24"/>
        </w:rPr>
        <w:t>gada 30.</w:t>
      </w:r>
      <w:r>
        <w:rPr>
          <w:rFonts w:eastAsia="Arial Unicode MS"/>
          <w:noProof/>
          <w:szCs w:val="24"/>
        </w:rPr>
        <w:t xml:space="preserve"> jūnijā.</w:t>
      </w:r>
    </w:p>
    <w:p w14:paraId="3244F251" w14:textId="77777777" w:rsidR="00854E0B" w:rsidRPr="00391D62" w:rsidRDefault="00854E0B" w:rsidP="00854E0B">
      <w:pPr>
        <w:ind w:right="-1" w:firstLine="567"/>
        <w:rPr>
          <w:bCs/>
          <w:szCs w:val="24"/>
          <w:lang w:eastAsia="lv-LV"/>
        </w:rPr>
      </w:pPr>
    </w:p>
    <w:p w14:paraId="1A10D728" w14:textId="77777777" w:rsidR="00854E0B" w:rsidRPr="00FC59A7" w:rsidRDefault="00854E0B" w:rsidP="006C3A5F">
      <w:pPr>
        <w:ind w:right="-1"/>
        <w:jc w:val="center"/>
        <w:rPr>
          <w:b/>
          <w:bCs/>
          <w:sz w:val="26"/>
          <w:szCs w:val="26"/>
          <w:lang w:eastAsia="lv-LV"/>
        </w:rPr>
      </w:pPr>
      <w:r w:rsidRPr="00FC59A7">
        <w:rPr>
          <w:b/>
          <w:bCs/>
          <w:sz w:val="26"/>
          <w:szCs w:val="26"/>
          <w:lang w:eastAsia="lv-LV"/>
        </w:rPr>
        <w:t>I</w:t>
      </w:r>
      <w:r>
        <w:rPr>
          <w:b/>
          <w:bCs/>
          <w:sz w:val="26"/>
          <w:szCs w:val="26"/>
          <w:lang w:eastAsia="lv-LV"/>
        </w:rPr>
        <w:t>V.</w:t>
      </w:r>
      <w:r w:rsidRPr="00FC59A7">
        <w:rPr>
          <w:b/>
          <w:bCs/>
          <w:sz w:val="26"/>
          <w:szCs w:val="26"/>
          <w:lang w:eastAsia="lv-LV"/>
        </w:rPr>
        <w:t xml:space="preserve"> Noslēguma jautājums</w:t>
      </w:r>
    </w:p>
    <w:p w14:paraId="131AE92F" w14:textId="77777777" w:rsidR="00854E0B" w:rsidRDefault="00854E0B" w:rsidP="00854E0B">
      <w:pPr>
        <w:ind w:right="-1" w:firstLine="567"/>
        <w:rPr>
          <w:bCs/>
          <w:szCs w:val="24"/>
          <w:lang w:eastAsia="lv-LV"/>
        </w:rPr>
      </w:pPr>
    </w:p>
    <w:p w14:paraId="0A7066C7" w14:textId="671B64B4" w:rsidR="00854E0B" w:rsidRDefault="00854E0B" w:rsidP="00854E0B">
      <w:pPr>
        <w:ind w:right="-1" w:firstLine="567"/>
        <w:rPr>
          <w:bCs/>
          <w:szCs w:val="24"/>
          <w:lang w:eastAsia="lv-LV"/>
        </w:rPr>
      </w:pPr>
      <w:r>
        <w:rPr>
          <w:bCs/>
          <w:szCs w:val="24"/>
          <w:lang w:eastAsia="lv-LV"/>
        </w:rPr>
        <w:t>2</w:t>
      </w:r>
      <w:r w:rsidR="006C3A5F">
        <w:rPr>
          <w:bCs/>
          <w:szCs w:val="24"/>
          <w:lang w:eastAsia="lv-LV"/>
        </w:rPr>
        <w:t>3</w:t>
      </w:r>
      <w:r>
        <w:rPr>
          <w:bCs/>
          <w:szCs w:val="24"/>
          <w:lang w:eastAsia="lv-LV"/>
        </w:rPr>
        <w:t xml:space="preserve">. </w:t>
      </w:r>
      <w:r w:rsidRPr="00C541CE">
        <w:rPr>
          <w:bCs/>
          <w:szCs w:val="24"/>
          <w:lang w:eastAsia="lv-LV"/>
        </w:rPr>
        <w:t>Ar šo noteikumu spēkā stāšanos spēku zaudē Komisijas 2018.</w:t>
      </w:r>
      <w:r w:rsidR="006C3A5F">
        <w:rPr>
          <w:bCs/>
          <w:szCs w:val="24"/>
          <w:lang w:eastAsia="lv-LV"/>
        </w:rPr>
        <w:t xml:space="preserve"> gada 6. februāra</w:t>
      </w:r>
      <w:r w:rsidRPr="00C541CE">
        <w:rPr>
          <w:bCs/>
          <w:szCs w:val="24"/>
          <w:lang w:eastAsia="lv-LV"/>
        </w:rPr>
        <w:t xml:space="preserve"> normatīvie noteikumi Nr. </w:t>
      </w:r>
      <w:r>
        <w:rPr>
          <w:bCs/>
          <w:szCs w:val="24"/>
          <w:lang w:eastAsia="lv-LV"/>
        </w:rPr>
        <w:t>30</w:t>
      </w:r>
      <w:r w:rsidRPr="00C541CE">
        <w:rPr>
          <w:bCs/>
          <w:szCs w:val="24"/>
          <w:lang w:eastAsia="lv-LV"/>
        </w:rPr>
        <w:t xml:space="preserve"> "Informācijas par garantēto atlīdzību apkopošanas un sniegšanas normatīvie noteikumi".</w:t>
      </w:r>
    </w:p>
    <w:p w14:paraId="15238456" w14:textId="77777777" w:rsidR="00854E0B" w:rsidRPr="00391D62" w:rsidRDefault="00854E0B" w:rsidP="00854E0B">
      <w:pPr>
        <w:ind w:right="-1" w:firstLine="567"/>
        <w:rPr>
          <w:bCs/>
          <w:szCs w:val="24"/>
          <w:lang w:eastAsia="lv-LV"/>
        </w:rPr>
      </w:pPr>
    </w:p>
    <w:p w14:paraId="35D08056" w14:textId="77777777" w:rsidR="00B5352F" w:rsidRPr="000971CA" w:rsidRDefault="00B5352F">
      <w:pPr>
        <w:ind w:right="-1" w:firstLine="567"/>
        <w:rPr>
          <w:bCs/>
          <w:szCs w:val="24"/>
          <w:lang w:eastAsia="lv-LV"/>
        </w:rPr>
      </w:pPr>
    </w:p>
    <w:p w14:paraId="3667A8B1" w14:textId="77777777" w:rsidR="00BD79F3" w:rsidRPr="000971CA" w:rsidRDefault="0006194A">
      <w:pPr>
        <w:ind w:right="-1"/>
        <w:rPr>
          <w:noProof/>
        </w:rPr>
      </w:pPr>
      <w:r w:rsidRPr="000971CA">
        <w:rPr>
          <w:noProof/>
        </w:rPr>
        <w:t>Finanšu un kapitāla tirgus</w:t>
      </w:r>
      <w:r w:rsidR="00BD79F3" w:rsidRPr="000971CA">
        <w:rPr>
          <w:noProof/>
        </w:rPr>
        <w:t xml:space="preserve"> </w:t>
      </w:r>
      <w:r w:rsidRPr="000971CA">
        <w:rPr>
          <w:noProof/>
        </w:rPr>
        <w:t xml:space="preserve">komisijas </w:t>
      </w:r>
    </w:p>
    <w:p w14:paraId="67167E3B" w14:textId="20F345CD" w:rsidR="00B5352F" w:rsidRPr="000971CA" w:rsidRDefault="0006194A">
      <w:pPr>
        <w:ind w:right="-1"/>
        <w:rPr>
          <w:noProof/>
        </w:rPr>
      </w:pPr>
      <w:r w:rsidRPr="000971CA">
        <w:rPr>
          <w:noProof/>
        </w:rPr>
        <w:t>priekšsēdētāj</w:t>
      </w:r>
      <w:r w:rsidR="000539AE" w:rsidRPr="000971CA">
        <w:rPr>
          <w:noProof/>
        </w:rPr>
        <w:t>a</w:t>
      </w:r>
      <w:r w:rsidRPr="000971CA">
        <w:rPr>
          <w:noProof/>
        </w:rPr>
        <w:tab/>
      </w:r>
      <w:r w:rsidRPr="000971CA">
        <w:rPr>
          <w:noProof/>
        </w:rPr>
        <w:tab/>
      </w:r>
      <w:r w:rsidRPr="000971CA">
        <w:rPr>
          <w:noProof/>
        </w:rPr>
        <w:tab/>
      </w:r>
      <w:r w:rsidRPr="000971CA">
        <w:rPr>
          <w:noProof/>
        </w:rPr>
        <w:tab/>
      </w:r>
      <w:r w:rsidRPr="000971CA">
        <w:rPr>
          <w:noProof/>
        </w:rPr>
        <w:tab/>
      </w:r>
      <w:r w:rsidRPr="000971CA">
        <w:rPr>
          <w:noProof/>
        </w:rPr>
        <w:tab/>
      </w:r>
      <w:r w:rsidRPr="000971CA">
        <w:rPr>
          <w:noProof/>
        </w:rPr>
        <w:tab/>
      </w:r>
      <w:r w:rsidRPr="000971CA">
        <w:rPr>
          <w:noProof/>
        </w:rPr>
        <w:tab/>
        <w:t xml:space="preserve"> </w:t>
      </w:r>
      <w:r w:rsidR="00BA11FF" w:rsidRPr="000971CA">
        <w:rPr>
          <w:noProof/>
        </w:rPr>
        <w:tab/>
      </w:r>
      <w:r w:rsidR="005D76FC" w:rsidRPr="000971CA">
        <w:rPr>
          <w:noProof/>
        </w:rPr>
        <w:t>S. Purgaile</w:t>
      </w:r>
    </w:p>
    <w:p w14:paraId="64F58CB3" w14:textId="77777777" w:rsidR="0006194A" w:rsidRPr="000971CA" w:rsidRDefault="0006194A">
      <w:pPr>
        <w:pStyle w:val="Nobeigums"/>
        <w:rPr>
          <w:b/>
          <w:bCs/>
          <w:sz w:val="20"/>
          <w:lang w:val="lv-LV"/>
        </w:rPr>
      </w:pPr>
    </w:p>
    <w:p w14:paraId="3B23A51D" w14:textId="77777777" w:rsidR="004B31E2" w:rsidRPr="000971CA" w:rsidRDefault="004B31E2">
      <w:pPr>
        <w:pStyle w:val="Nobeigums"/>
        <w:rPr>
          <w:b/>
          <w:bCs/>
          <w:sz w:val="20"/>
          <w:lang w:val="lv-LV"/>
        </w:rPr>
      </w:pPr>
      <w:r w:rsidRPr="000971CA">
        <w:rPr>
          <w:b/>
          <w:bCs/>
          <w:sz w:val="20"/>
          <w:lang w:val="lv-LV"/>
        </w:rPr>
        <w:t xml:space="preserve">ŠIS DOKUMENTS IR ELEKTRONISKI PARAKSTĪTS AR </w:t>
      </w:r>
    </w:p>
    <w:p w14:paraId="0B0E25AA" w14:textId="4EE64A62" w:rsidR="004D3CF4" w:rsidRPr="00D567B8" w:rsidRDefault="004B31E2" w:rsidP="002510AA">
      <w:pPr>
        <w:pStyle w:val="Heading4"/>
      </w:pPr>
      <w:r w:rsidRPr="000971CA">
        <w:t xml:space="preserve">DROŠU ELEKTRONISKO PARAKSTU UN SATUR LAIKA ZĪMOGU </w:t>
      </w:r>
    </w:p>
    <w:p w14:paraId="38C797F1" w14:textId="77777777" w:rsidR="00BD3FB1" w:rsidRPr="000971CA" w:rsidRDefault="00BD3FB1">
      <w:pPr>
        <w:pStyle w:val="Heading4"/>
        <w:rPr>
          <w:b w:val="0"/>
        </w:rPr>
      </w:pPr>
    </w:p>
    <w:sectPr w:rsidR="00BD3FB1" w:rsidRPr="000971CA" w:rsidSect="002510AA">
      <w:headerReference w:type="first" r:id="rId8"/>
      <w:pgSz w:w="11907" w:h="16840" w:code="9"/>
      <w:pgMar w:top="1418" w:right="1418" w:bottom="1701" w:left="1418" w:header="561" w:footer="31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54F10" w14:textId="77777777" w:rsidR="00C163D2" w:rsidRDefault="00C163D2">
      <w:r>
        <w:separator/>
      </w:r>
    </w:p>
  </w:endnote>
  <w:endnote w:type="continuationSeparator" w:id="0">
    <w:p w14:paraId="32A4E278" w14:textId="77777777" w:rsidR="00C163D2" w:rsidRDefault="00C16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utonica">
    <w:altName w:val="Times New Roman"/>
    <w:panose1 w:val="00000000000000000000"/>
    <w:charset w:val="00"/>
    <w:family w:val="roman"/>
    <w:notTrueType/>
    <w:pitch w:val="variable"/>
    <w:sig w:usb0="00000001" w:usb1="00000000" w:usb2="00000000" w:usb3="00000000" w:csb0="0000008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2AFFB" w14:textId="77777777" w:rsidR="00C163D2" w:rsidRDefault="00C163D2">
      <w:r>
        <w:separator/>
      </w:r>
    </w:p>
  </w:footnote>
  <w:footnote w:type="continuationSeparator" w:id="0">
    <w:p w14:paraId="2DF321D1" w14:textId="77777777" w:rsidR="00C163D2" w:rsidRDefault="00C16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59A4F" w14:textId="20CC98E9" w:rsidR="00DC1D78" w:rsidRDefault="00DC1D7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B916045C"/>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w:lvlJc w:val="left"/>
      <w:pPr>
        <w:ind w:left="0" w:firstLine="0"/>
      </w:pPr>
      <w:rPr>
        <w:rFonts w:ascii="Times New Roman" w:hAnsi="Times New Roman" w:hint="default"/>
        <w:b w:val="0"/>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suff w:val="space"/>
      <w:lvlText w:val="%1.%2.%3.%4."/>
      <w:lvlJc w:val="left"/>
      <w:pPr>
        <w:ind w:left="0" w:firstLine="0"/>
      </w:pPr>
      <w:rPr>
        <w:rFonts w:ascii="Times New Roman" w:hAnsi="Times New Roman" w:hint="default"/>
        <w:b w:val="0"/>
        <w:i w:val="0"/>
        <w:sz w:val="24"/>
      </w:rPr>
    </w:lvl>
    <w:lvl w:ilvl="4">
      <w:start w:val="1"/>
      <w:numFmt w:val="decimal"/>
      <w:pStyle w:val="Heading5"/>
      <w:suff w:val="space"/>
      <w:lvlText w:val="%1.%2.%3.%4.%5."/>
      <w:lvlJc w:val="left"/>
      <w:pPr>
        <w:ind w:left="0" w:firstLine="0"/>
      </w:pPr>
      <w:rPr>
        <w:rFonts w:ascii="Times New Roman" w:hAnsi="Times New Roman" w:hint="default"/>
        <w:b w:val="0"/>
        <w:i w:val="0"/>
        <w:sz w:val="22"/>
      </w:rPr>
    </w:lvl>
    <w:lvl w:ilvl="5">
      <w:start w:val="1"/>
      <w:numFmt w:val="decimal"/>
      <w:pStyle w:val="Heading6"/>
      <w:suff w:val="space"/>
      <w:lvlText w:val="%1.%2.%3.%4.%5.%6."/>
      <w:lvlJc w:val="left"/>
      <w:pPr>
        <w:ind w:left="0" w:firstLine="0"/>
      </w:pPr>
      <w:rPr>
        <w:rFonts w:ascii="Times New Roman" w:hAnsi="Times New Roman" w:hint="default"/>
        <w:b w:val="0"/>
        <w:i w:val="0"/>
        <w:sz w:val="22"/>
      </w:rPr>
    </w:lvl>
    <w:lvl w:ilvl="6">
      <w:start w:val="1"/>
      <w:numFmt w:val="decimal"/>
      <w:pStyle w:val="Heading7"/>
      <w:suff w:val="space"/>
      <w:lvlText w:val="%1.%2.%3.%4.%5.%6.%7."/>
      <w:lvlJc w:val="left"/>
      <w:pPr>
        <w:ind w:left="0" w:firstLine="0"/>
      </w:pPr>
      <w:rPr>
        <w:rFonts w:ascii="Times New Roman" w:hAnsi="Times New Roman" w:hint="default"/>
        <w:b w:val="0"/>
        <w:i w:val="0"/>
        <w:sz w:val="22"/>
      </w:rPr>
    </w:lvl>
    <w:lvl w:ilvl="7">
      <w:start w:val="1"/>
      <w:numFmt w:val="decimal"/>
      <w:pStyle w:val="Heading8"/>
      <w:suff w:val="space"/>
      <w:lvlText w:val="%1.%2.%3.%4.%5.%6.%7.%8."/>
      <w:lvlJc w:val="left"/>
      <w:pPr>
        <w:ind w:left="0" w:firstLine="0"/>
      </w:pPr>
      <w:rPr>
        <w:rFonts w:ascii="Times New Roman" w:hAnsi="Times New Roman" w:hint="default"/>
        <w:b w:val="0"/>
        <w:i w:val="0"/>
        <w:sz w:val="22"/>
      </w:rPr>
    </w:lvl>
    <w:lvl w:ilvl="8">
      <w:start w:val="1"/>
      <w:numFmt w:val="decimal"/>
      <w:pStyle w:val="Heading9"/>
      <w:suff w:val="space"/>
      <w:lvlText w:val="%1.%2.%3.%4.%5.%6.%7.%8.%9."/>
      <w:lvlJc w:val="left"/>
      <w:pPr>
        <w:ind w:left="0" w:firstLine="0"/>
      </w:pPr>
      <w:rPr>
        <w:rFonts w:ascii="Times New Roman" w:hAnsi="Times New Roman" w:hint="default"/>
        <w:b w:val="0"/>
        <w:i w:val="0"/>
        <w:sz w:val="22"/>
      </w:rPr>
    </w:lvl>
  </w:abstractNum>
  <w:abstractNum w:abstractNumId="1" w15:restartNumberingAfterBreak="0">
    <w:nsid w:val="078F225E"/>
    <w:multiLevelType w:val="hybridMultilevel"/>
    <w:tmpl w:val="AE00B6C2"/>
    <w:lvl w:ilvl="0" w:tplc="E56CE0E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E532BDC"/>
    <w:multiLevelType w:val="hybridMultilevel"/>
    <w:tmpl w:val="34FAA98C"/>
    <w:lvl w:ilvl="0" w:tplc="77E289F6">
      <w:start w:val="19"/>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0EBC7522"/>
    <w:multiLevelType w:val="hybridMultilevel"/>
    <w:tmpl w:val="8B64E718"/>
    <w:lvl w:ilvl="0" w:tplc="222EB176">
      <w:start w:val="16"/>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117E32D1"/>
    <w:multiLevelType w:val="multilevel"/>
    <w:tmpl w:val="F3EA10F8"/>
    <w:lvl w:ilvl="0">
      <w:start w:val="1"/>
      <w:numFmt w:val="decimal"/>
      <w:suff w:val="space"/>
      <w:lvlText w:val="%1."/>
      <w:lvlJc w:val="left"/>
      <w:pPr>
        <w:ind w:left="0" w:firstLine="0"/>
      </w:pPr>
      <w:rPr>
        <w:rFonts w:ascii="Times New Roman" w:hAnsi="Times New Roman" w:hint="default"/>
        <w:b w:val="0"/>
        <w:i w:val="0"/>
        <w:sz w:val="24"/>
      </w:rPr>
    </w:lvl>
    <w:lvl w:ilvl="1">
      <w:start w:val="1"/>
      <w:numFmt w:val="decimal"/>
      <w:isLgl/>
      <w:suff w:val="space"/>
      <w:lvlText w:val="%1.%2."/>
      <w:lvlJc w:val="left"/>
      <w:pPr>
        <w:ind w:left="0" w:firstLine="0"/>
      </w:pPr>
      <w:rPr>
        <w:rFonts w:ascii="Times New Roman" w:hAnsi="Times New Roman" w:hint="default"/>
        <w:b w:val="0"/>
        <w:i w:val="0"/>
        <w:sz w:val="24"/>
      </w:rPr>
    </w:lvl>
    <w:lvl w:ilvl="2">
      <w:start w:val="1"/>
      <w:numFmt w:val="decimal"/>
      <w:isLgl/>
      <w:suff w:val="space"/>
      <w:lvlText w:val="%1.%2.%3."/>
      <w:lvlJc w:val="left"/>
      <w:pPr>
        <w:ind w:left="0" w:firstLine="0"/>
      </w:pPr>
      <w:rPr>
        <w:rFonts w:ascii="Times New Roman" w:hAnsi="Times New Roman" w:hint="default"/>
        <w:b w:val="0"/>
        <w:i w:val="0"/>
        <w:sz w:val="24"/>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11B16B6A"/>
    <w:multiLevelType w:val="hybridMultilevel"/>
    <w:tmpl w:val="AAB6A278"/>
    <w:lvl w:ilvl="0" w:tplc="2D880720">
      <w:start w:val="17"/>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12352E49"/>
    <w:multiLevelType w:val="hybridMultilevel"/>
    <w:tmpl w:val="BB3EB696"/>
    <w:lvl w:ilvl="0" w:tplc="9140C9FE">
      <w:start w:val="4"/>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12F57B9D"/>
    <w:multiLevelType w:val="multilevel"/>
    <w:tmpl w:val="23828F9E"/>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15:restartNumberingAfterBreak="0">
    <w:nsid w:val="14FF26E0"/>
    <w:multiLevelType w:val="hybridMultilevel"/>
    <w:tmpl w:val="4F942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D80FCF"/>
    <w:multiLevelType w:val="hybridMultilevel"/>
    <w:tmpl w:val="98F2F1A2"/>
    <w:lvl w:ilvl="0" w:tplc="886AC420">
      <w:start w:val="6"/>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1817613E"/>
    <w:multiLevelType w:val="multilevel"/>
    <w:tmpl w:val="61CAFA42"/>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2E55F2C"/>
    <w:multiLevelType w:val="multilevel"/>
    <w:tmpl w:val="8FC88E8E"/>
    <w:lvl w:ilvl="0">
      <w:start w:val="1"/>
      <w:numFmt w:val="decimal"/>
      <w:pStyle w:val="TekstsN1"/>
      <w:suff w:val="space"/>
      <w:lvlText w:val="%1."/>
      <w:lvlJc w:val="left"/>
      <w:pPr>
        <w:ind w:left="0" w:firstLine="0"/>
      </w:pPr>
      <w:rPr>
        <w:rFonts w:ascii="Times New Roman" w:hAnsi="Times New Roman" w:hint="default"/>
        <w:b w:val="0"/>
        <w:i w:val="0"/>
        <w:sz w:val="24"/>
      </w:rPr>
    </w:lvl>
    <w:lvl w:ilvl="1">
      <w:start w:val="1"/>
      <w:numFmt w:val="decimal"/>
      <w:pStyle w:val="TekstsN2"/>
      <w:isLgl/>
      <w:suff w:val="space"/>
      <w:lvlText w:val="%1.%2."/>
      <w:lvlJc w:val="left"/>
      <w:pPr>
        <w:ind w:left="0" w:firstLine="0"/>
      </w:pPr>
      <w:rPr>
        <w:rFonts w:ascii="Times New Roman" w:hAnsi="Times New Roman" w:hint="default"/>
        <w:b w:val="0"/>
        <w:i w:val="0"/>
        <w:sz w:val="24"/>
      </w:rPr>
    </w:lvl>
    <w:lvl w:ilvl="2">
      <w:start w:val="1"/>
      <w:numFmt w:val="decimal"/>
      <w:pStyle w:val="TekstsN3"/>
      <w:isLgl/>
      <w:suff w:val="space"/>
      <w:lvlText w:val="%1.%2.%3."/>
      <w:lvlJc w:val="left"/>
      <w:pPr>
        <w:ind w:left="0" w:firstLine="0"/>
      </w:pPr>
      <w:rPr>
        <w:rFonts w:ascii="Times New Roman" w:hAnsi="Times New Roman" w:hint="default"/>
        <w:b w:val="0"/>
        <w:i w:val="0"/>
        <w:sz w:val="24"/>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25C10732"/>
    <w:multiLevelType w:val="hybridMultilevel"/>
    <w:tmpl w:val="E2C085A2"/>
    <w:lvl w:ilvl="0" w:tplc="4B8EE5B4">
      <w:start w:val="17"/>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27687C2E"/>
    <w:multiLevelType w:val="hybridMultilevel"/>
    <w:tmpl w:val="965827BC"/>
    <w:lvl w:ilvl="0" w:tplc="0C9E5296">
      <w:start w:val="6"/>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2A3C6FBB"/>
    <w:multiLevelType w:val="hybridMultilevel"/>
    <w:tmpl w:val="4CDE331E"/>
    <w:lvl w:ilvl="0" w:tplc="9B1E424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2AC2226E"/>
    <w:multiLevelType w:val="hybridMultilevel"/>
    <w:tmpl w:val="5D6C8660"/>
    <w:lvl w:ilvl="0" w:tplc="3C98F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E419D1"/>
    <w:multiLevelType w:val="hybridMultilevel"/>
    <w:tmpl w:val="E4927062"/>
    <w:lvl w:ilvl="0" w:tplc="6748D04E">
      <w:start w:val="13"/>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2BBA2C9E"/>
    <w:multiLevelType w:val="hybridMultilevel"/>
    <w:tmpl w:val="EAFC5CC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354E2D16"/>
    <w:multiLevelType w:val="multilevel"/>
    <w:tmpl w:val="7F5EC6AE"/>
    <w:lvl w:ilvl="0">
      <w:start w:val="1"/>
      <w:numFmt w:val="decimal"/>
      <w:suff w:val="space"/>
      <w:lvlText w:val="%1."/>
      <w:lvlJc w:val="left"/>
      <w:pPr>
        <w:ind w:left="0" w:firstLine="0"/>
      </w:pPr>
      <w:rPr>
        <w:rFonts w:ascii="Teutonica" w:hAnsi="Teutonica" w:hint="default"/>
        <w:b w:val="0"/>
        <w:i w:val="0"/>
        <w:sz w:val="24"/>
      </w:rPr>
    </w:lvl>
    <w:lvl w:ilvl="1">
      <w:start w:val="1"/>
      <w:numFmt w:val="decimal"/>
      <w:suff w:val="space"/>
      <w:lvlText w:val="%1.%2."/>
      <w:lvlJc w:val="left"/>
      <w:pPr>
        <w:ind w:left="0" w:firstLine="0"/>
      </w:pPr>
      <w:rPr>
        <w:rFonts w:ascii="Teutonica" w:hAnsi="Teutonica" w:hint="default"/>
        <w:sz w:val="24"/>
      </w:rPr>
    </w:lvl>
    <w:lvl w:ilvl="2">
      <w:start w:val="1"/>
      <w:numFmt w:val="decimal"/>
      <w:suff w:val="space"/>
      <w:lvlText w:val="%1.%2.%3."/>
      <w:lvlJc w:val="left"/>
      <w:pPr>
        <w:ind w:left="0" w:firstLine="0"/>
      </w:pPr>
      <w:rPr>
        <w:rFonts w:ascii="Teutonica" w:hAnsi="Teutonica" w:hint="default"/>
        <w:sz w:val="24"/>
      </w:rPr>
    </w:lvl>
    <w:lvl w:ilvl="3">
      <w:start w:val="1"/>
      <w:numFmt w:val="decimal"/>
      <w:suff w:val="space"/>
      <w:lvlText w:val="%1.%2.%3.%4."/>
      <w:lvlJc w:val="left"/>
      <w:pPr>
        <w:ind w:left="0" w:firstLine="0"/>
      </w:pPr>
      <w:rPr>
        <w:rFonts w:ascii="Teutonica" w:hAnsi="Teutonica" w:hint="default"/>
        <w:sz w:val="24"/>
      </w:rPr>
    </w:lvl>
    <w:lvl w:ilvl="4">
      <w:start w:val="1"/>
      <w:numFmt w:val="decimal"/>
      <w:suff w:val="space"/>
      <w:lvlText w:val="%1.%2.%3.%4.%5."/>
      <w:lvlJc w:val="left"/>
      <w:pPr>
        <w:ind w:left="0" w:firstLine="0"/>
      </w:pPr>
      <w:rPr>
        <w:rFonts w:ascii="Teutonica" w:hAnsi="Teutonica" w:hint="default"/>
        <w:sz w:val="24"/>
      </w:rPr>
    </w:lvl>
    <w:lvl w:ilvl="5">
      <w:start w:val="1"/>
      <w:numFmt w:val="decimal"/>
      <w:suff w:val="space"/>
      <w:lvlText w:val="%1.%2.%3.%4.%5.%6."/>
      <w:lvlJc w:val="left"/>
      <w:pPr>
        <w:ind w:left="0" w:firstLine="0"/>
      </w:pPr>
      <w:rPr>
        <w:rFonts w:ascii="Teutonica" w:hAnsi="Teutonica" w:hint="default"/>
        <w:sz w:val="24"/>
      </w:rPr>
    </w:lvl>
    <w:lvl w:ilvl="6">
      <w:start w:val="1"/>
      <w:numFmt w:val="decimal"/>
      <w:suff w:val="space"/>
      <w:lvlText w:val="%1.%2.%3.%4.%5.%6.%7."/>
      <w:lvlJc w:val="left"/>
      <w:pPr>
        <w:ind w:left="0" w:firstLine="0"/>
      </w:pPr>
      <w:rPr>
        <w:rFonts w:ascii="Teutonica" w:hAnsi="Teutonica" w:hint="default"/>
        <w:sz w:val="24"/>
      </w:rPr>
    </w:lvl>
    <w:lvl w:ilvl="7">
      <w:start w:val="1"/>
      <w:numFmt w:val="decimal"/>
      <w:suff w:val="space"/>
      <w:lvlText w:val="%1.%2.%3.%4.%5.%6.%7.%8."/>
      <w:lvlJc w:val="left"/>
      <w:pPr>
        <w:ind w:left="0" w:firstLine="0"/>
      </w:pPr>
      <w:rPr>
        <w:rFonts w:ascii="Teutonica" w:hAnsi="Teutonica" w:hint="default"/>
        <w:sz w:val="24"/>
      </w:rPr>
    </w:lvl>
    <w:lvl w:ilvl="8">
      <w:start w:val="1"/>
      <w:numFmt w:val="decimal"/>
      <w:suff w:val="space"/>
      <w:lvlText w:val="%1.%2.%3.%4.%5.%6.%7.%8.%9."/>
      <w:lvlJc w:val="left"/>
      <w:pPr>
        <w:ind w:left="0" w:firstLine="0"/>
      </w:pPr>
      <w:rPr>
        <w:rFonts w:ascii="Teutonica" w:hAnsi="Teutonica" w:hint="default"/>
        <w:sz w:val="24"/>
      </w:rPr>
    </w:lvl>
  </w:abstractNum>
  <w:abstractNum w:abstractNumId="19" w15:restartNumberingAfterBreak="0">
    <w:nsid w:val="3551346B"/>
    <w:multiLevelType w:val="hybridMultilevel"/>
    <w:tmpl w:val="9098AE7C"/>
    <w:lvl w:ilvl="0" w:tplc="8F4CE472">
      <w:start w:val="20"/>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4635340A"/>
    <w:multiLevelType w:val="hybridMultilevel"/>
    <w:tmpl w:val="A2204FA4"/>
    <w:lvl w:ilvl="0" w:tplc="6D2CBFCC">
      <w:start w:val="7"/>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4BCC276E"/>
    <w:multiLevelType w:val="hybridMultilevel"/>
    <w:tmpl w:val="EB4EBD0A"/>
    <w:lvl w:ilvl="0" w:tplc="DEE6B7B4">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15:restartNumberingAfterBreak="0">
    <w:nsid w:val="4EE57BEB"/>
    <w:multiLevelType w:val="hybridMultilevel"/>
    <w:tmpl w:val="FEFCA666"/>
    <w:lvl w:ilvl="0" w:tplc="EEEC6548">
      <w:start w:val="15"/>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4F134985"/>
    <w:multiLevelType w:val="hybridMultilevel"/>
    <w:tmpl w:val="6F6C1E22"/>
    <w:lvl w:ilvl="0" w:tplc="1A1E348C">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1BB3A03"/>
    <w:multiLevelType w:val="hybridMultilevel"/>
    <w:tmpl w:val="47EA47EA"/>
    <w:lvl w:ilvl="0" w:tplc="21B0CA3E">
      <w:start w:val="14"/>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15:restartNumberingAfterBreak="0">
    <w:nsid w:val="5710553D"/>
    <w:multiLevelType w:val="hybridMultilevel"/>
    <w:tmpl w:val="FBB63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F53D80"/>
    <w:multiLevelType w:val="hybridMultilevel"/>
    <w:tmpl w:val="65303750"/>
    <w:lvl w:ilvl="0" w:tplc="FD844F2A">
      <w:start w:val="1"/>
      <w:numFmt w:val="upperRoman"/>
      <w:lvlText w:val="%1."/>
      <w:lvlJc w:val="left"/>
      <w:pPr>
        <w:tabs>
          <w:tab w:val="num" w:pos="1080"/>
        </w:tabs>
        <w:ind w:left="1080" w:hanging="720"/>
      </w:pPr>
      <w:rPr>
        <w:rFonts w:hint="default"/>
        <w:b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645113"/>
    <w:multiLevelType w:val="hybridMultilevel"/>
    <w:tmpl w:val="0568A376"/>
    <w:lvl w:ilvl="0" w:tplc="6A081D86">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28" w15:restartNumberingAfterBreak="0">
    <w:nsid w:val="71923EA0"/>
    <w:multiLevelType w:val="hybridMultilevel"/>
    <w:tmpl w:val="D4C8A1C8"/>
    <w:lvl w:ilvl="0" w:tplc="E682C598">
      <w:start w:val="16"/>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9" w15:restartNumberingAfterBreak="0">
    <w:nsid w:val="77000154"/>
    <w:multiLevelType w:val="hybridMultilevel"/>
    <w:tmpl w:val="BB4E4B12"/>
    <w:lvl w:ilvl="0" w:tplc="2842F56C">
      <w:start w:val="3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0" w15:restartNumberingAfterBreak="0">
    <w:nsid w:val="77FC3FFC"/>
    <w:multiLevelType w:val="hybridMultilevel"/>
    <w:tmpl w:val="D0AE3F94"/>
    <w:lvl w:ilvl="0" w:tplc="D38423CC">
      <w:start w:val="8"/>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79341FF0"/>
    <w:multiLevelType w:val="multilevel"/>
    <w:tmpl w:val="42C4A8E6"/>
    <w:lvl w:ilvl="0">
      <w:start w:val="1"/>
      <w:numFmt w:val="decimal"/>
      <w:suff w:val="space"/>
      <w:lvlText w:val="%1."/>
      <w:lvlJc w:val="left"/>
      <w:pPr>
        <w:ind w:left="0" w:firstLine="0"/>
      </w:pPr>
      <w:rPr>
        <w:rFonts w:ascii="Times New Roman" w:hAnsi="Times New Roman" w:hint="default"/>
        <w:b w:val="0"/>
        <w:i w:val="0"/>
        <w:sz w:val="24"/>
      </w:rPr>
    </w:lvl>
    <w:lvl w:ilvl="1">
      <w:start w:val="1"/>
      <w:numFmt w:val="decimal"/>
      <w:isLgl/>
      <w:suff w:val="space"/>
      <w:lvlText w:val="%1.%2."/>
      <w:lvlJc w:val="left"/>
      <w:pPr>
        <w:ind w:left="0" w:firstLine="0"/>
      </w:pPr>
      <w:rPr>
        <w:rFonts w:ascii="Times New Roman" w:hAnsi="Times New Roman" w:hint="default"/>
        <w:b w:val="0"/>
        <w:i w:val="0"/>
        <w:sz w:val="24"/>
      </w:rPr>
    </w:lvl>
    <w:lvl w:ilvl="2">
      <w:start w:val="1"/>
      <w:numFmt w:val="decimal"/>
      <w:isLgl/>
      <w:suff w:val="space"/>
      <w:lvlText w:val="%1.%2.%3."/>
      <w:lvlJc w:val="left"/>
      <w:pPr>
        <w:ind w:left="0" w:firstLine="0"/>
      </w:pPr>
      <w:rPr>
        <w:rFonts w:ascii="Times New Roman" w:hAnsi="Times New Roman" w:hint="default"/>
        <w:b w:val="0"/>
        <w:i w:val="0"/>
        <w:sz w:val="24"/>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7B4255BC"/>
    <w:multiLevelType w:val="hybridMultilevel"/>
    <w:tmpl w:val="111246AC"/>
    <w:lvl w:ilvl="0" w:tplc="88D6E844">
      <w:start w:val="5"/>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3" w15:restartNumberingAfterBreak="0">
    <w:nsid w:val="7E6A03E0"/>
    <w:multiLevelType w:val="hybridMultilevel"/>
    <w:tmpl w:val="D0E80FB0"/>
    <w:lvl w:ilvl="0" w:tplc="979494BE">
      <w:start w:val="14"/>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15:restartNumberingAfterBreak="0">
    <w:nsid w:val="7EAA14E9"/>
    <w:multiLevelType w:val="hybridMultilevel"/>
    <w:tmpl w:val="2DCEAAEC"/>
    <w:lvl w:ilvl="0" w:tplc="013E0236">
      <w:start w:val="1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0"/>
  </w:num>
  <w:num w:numId="2">
    <w:abstractNumId w:val="18"/>
  </w:num>
  <w:num w:numId="3">
    <w:abstractNumId w:val="4"/>
  </w:num>
  <w:num w:numId="4">
    <w:abstractNumId w:val="31"/>
  </w:num>
  <w:num w:numId="5">
    <w:abstractNumId w:val="11"/>
  </w:num>
  <w:num w:numId="6">
    <w:abstractNumId w:val="8"/>
  </w:num>
  <w:num w:numId="7">
    <w:abstractNumId w:val="10"/>
  </w:num>
  <w:num w:numId="8">
    <w:abstractNumId w:val="26"/>
  </w:num>
  <w:num w:numId="9">
    <w:abstractNumId w:val="17"/>
  </w:num>
  <w:num w:numId="10">
    <w:abstractNumId w:val="7"/>
  </w:num>
  <w:num w:numId="11">
    <w:abstractNumId w:val="21"/>
  </w:num>
  <w:num w:numId="12">
    <w:abstractNumId w:val="6"/>
  </w:num>
  <w:num w:numId="13">
    <w:abstractNumId w:val="9"/>
  </w:num>
  <w:num w:numId="14">
    <w:abstractNumId w:val="34"/>
  </w:num>
  <w:num w:numId="15">
    <w:abstractNumId w:val="13"/>
  </w:num>
  <w:num w:numId="16">
    <w:abstractNumId w:val="16"/>
  </w:num>
  <w:num w:numId="17">
    <w:abstractNumId w:val="28"/>
  </w:num>
  <w:num w:numId="18">
    <w:abstractNumId w:val="29"/>
  </w:num>
  <w:num w:numId="19">
    <w:abstractNumId w:val="32"/>
  </w:num>
  <w:num w:numId="20">
    <w:abstractNumId w:val="20"/>
  </w:num>
  <w:num w:numId="21">
    <w:abstractNumId w:val="24"/>
  </w:num>
  <w:num w:numId="22">
    <w:abstractNumId w:val="12"/>
  </w:num>
  <w:num w:numId="23">
    <w:abstractNumId w:val="33"/>
  </w:num>
  <w:num w:numId="24">
    <w:abstractNumId w:val="3"/>
  </w:num>
  <w:num w:numId="25">
    <w:abstractNumId w:val="2"/>
  </w:num>
  <w:num w:numId="26">
    <w:abstractNumId w:val="30"/>
  </w:num>
  <w:num w:numId="27">
    <w:abstractNumId w:val="22"/>
  </w:num>
  <w:num w:numId="28">
    <w:abstractNumId w:val="5"/>
  </w:num>
  <w:num w:numId="29">
    <w:abstractNumId w:val="19"/>
  </w:num>
  <w:num w:numId="30">
    <w:abstractNumId w:val="1"/>
  </w:num>
  <w:num w:numId="31">
    <w:abstractNumId w:val="23"/>
  </w:num>
  <w:num w:numId="32">
    <w:abstractNumId w:val="27"/>
  </w:num>
  <w:num w:numId="33">
    <w:abstractNumId w:val="14"/>
  </w:num>
  <w:num w:numId="34">
    <w:abstractNumId w:val="15"/>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94A"/>
    <w:rsid w:val="00000CB4"/>
    <w:rsid w:val="000013BC"/>
    <w:rsid w:val="00010EB9"/>
    <w:rsid w:val="000123C2"/>
    <w:rsid w:val="00024B23"/>
    <w:rsid w:val="00030134"/>
    <w:rsid w:val="00043683"/>
    <w:rsid w:val="00046663"/>
    <w:rsid w:val="00052DB7"/>
    <w:rsid w:val="000539AE"/>
    <w:rsid w:val="0006194A"/>
    <w:rsid w:val="0007019F"/>
    <w:rsid w:val="00075047"/>
    <w:rsid w:val="0008416B"/>
    <w:rsid w:val="000855F4"/>
    <w:rsid w:val="000971CA"/>
    <w:rsid w:val="000A3136"/>
    <w:rsid w:val="000A728F"/>
    <w:rsid w:val="000A7A2C"/>
    <w:rsid w:val="000B3515"/>
    <w:rsid w:val="000D2C03"/>
    <w:rsid w:val="000D687C"/>
    <w:rsid w:val="001000C7"/>
    <w:rsid w:val="001174EB"/>
    <w:rsid w:val="00120E39"/>
    <w:rsid w:val="001223CD"/>
    <w:rsid w:val="00122950"/>
    <w:rsid w:val="00134006"/>
    <w:rsid w:val="00135E69"/>
    <w:rsid w:val="001524CD"/>
    <w:rsid w:val="001607EA"/>
    <w:rsid w:val="00161B96"/>
    <w:rsid w:val="0017465C"/>
    <w:rsid w:val="001811FB"/>
    <w:rsid w:val="00193CFB"/>
    <w:rsid w:val="001A178F"/>
    <w:rsid w:val="001A2ADD"/>
    <w:rsid w:val="001B1426"/>
    <w:rsid w:val="001F43E8"/>
    <w:rsid w:val="002118BA"/>
    <w:rsid w:val="00213BAB"/>
    <w:rsid w:val="0021702D"/>
    <w:rsid w:val="002203CA"/>
    <w:rsid w:val="00221173"/>
    <w:rsid w:val="002274D2"/>
    <w:rsid w:val="00233685"/>
    <w:rsid w:val="002350E5"/>
    <w:rsid w:val="00246DF0"/>
    <w:rsid w:val="002510AA"/>
    <w:rsid w:val="00255B5E"/>
    <w:rsid w:val="00256F2C"/>
    <w:rsid w:val="00257A6E"/>
    <w:rsid w:val="00265512"/>
    <w:rsid w:val="00271965"/>
    <w:rsid w:val="002751F5"/>
    <w:rsid w:val="0027660A"/>
    <w:rsid w:val="0028624C"/>
    <w:rsid w:val="00291292"/>
    <w:rsid w:val="00293188"/>
    <w:rsid w:val="002A22C9"/>
    <w:rsid w:val="002B0635"/>
    <w:rsid w:val="002C5272"/>
    <w:rsid w:val="002C6C75"/>
    <w:rsid w:val="002D2C24"/>
    <w:rsid w:val="002D4315"/>
    <w:rsid w:val="002D6F40"/>
    <w:rsid w:val="002E0995"/>
    <w:rsid w:val="002E2033"/>
    <w:rsid w:val="00320608"/>
    <w:rsid w:val="0032567A"/>
    <w:rsid w:val="00327675"/>
    <w:rsid w:val="00330128"/>
    <w:rsid w:val="00346EE2"/>
    <w:rsid w:val="003471FC"/>
    <w:rsid w:val="00353193"/>
    <w:rsid w:val="00365361"/>
    <w:rsid w:val="0037489A"/>
    <w:rsid w:val="003751B7"/>
    <w:rsid w:val="00382484"/>
    <w:rsid w:val="00391B9C"/>
    <w:rsid w:val="00391D62"/>
    <w:rsid w:val="003945E9"/>
    <w:rsid w:val="00397BA0"/>
    <w:rsid w:val="003A2455"/>
    <w:rsid w:val="003C0ADC"/>
    <w:rsid w:val="003C0F28"/>
    <w:rsid w:val="003C1802"/>
    <w:rsid w:val="003D114E"/>
    <w:rsid w:val="003D14CD"/>
    <w:rsid w:val="003E17C0"/>
    <w:rsid w:val="003E4CD6"/>
    <w:rsid w:val="003E6C16"/>
    <w:rsid w:val="00401ACE"/>
    <w:rsid w:val="00406E74"/>
    <w:rsid w:val="00411B47"/>
    <w:rsid w:val="00412AB3"/>
    <w:rsid w:val="00426724"/>
    <w:rsid w:val="00430C07"/>
    <w:rsid w:val="004510E3"/>
    <w:rsid w:val="00451D6F"/>
    <w:rsid w:val="004530E9"/>
    <w:rsid w:val="00463F13"/>
    <w:rsid w:val="004679BD"/>
    <w:rsid w:val="00484BBF"/>
    <w:rsid w:val="00485346"/>
    <w:rsid w:val="0048604B"/>
    <w:rsid w:val="0049195F"/>
    <w:rsid w:val="004932A1"/>
    <w:rsid w:val="004A0196"/>
    <w:rsid w:val="004A68E4"/>
    <w:rsid w:val="004B0303"/>
    <w:rsid w:val="004B31E2"/>
    <w:rsid w:val="004B4633"/>
    <w:rsid w:val="004B4771"/>
    <w:rsid w:val="004D3CF4"/>
    <w:rsid w:val="004E3FED"/>
    <w:rsid w:val="004E7AA0"/>
    <w:rsid w:val="004F1D0A"/>
    <w:rsid w:val="004F2DBE"/>
    <w:rsid w:val="004F38DA"/>
    <w:rsid w:val="004F744D"/>
    <w:rsid w:val="00500F07"/>
    <w:rsid w:val="00517509"/>
    <w:rsid w:val="005239F2"/>
    <w:rsid w:val="0052579B"/>
    <w:rsid w:val="00526DCB"/>
    <w:rsid w:val="005319D7"/>
    <w:rsid w:val="00554421"/>
    <w:rsid w:val="0056286F"/>
    <w:rsid w:val="00566CF6"/>
    <w:rsid w:val="00566F9D"/>
    <w:rsid w:val="00575349"/>
    <w:rsid w:val="00575BB4"/>
    <w:rsid w:val="00591054"/>
    <w:rsid w:val="00592B03"/>
    <w:rsid w:val="00597455"/>
    <w:rsid w:val="005A700E"/>
    <w:rsid w:val="005D10C1"/>
    <w:rsid w:val="005D76FC"/>
    <w:rsid w:val="005E08E5"/>
    <w:rsid w:val="0061101A"/>
    <w:rsid w:val="006171EC"/>
    <w:rsid w:val="00621A7A"/>
    <w:rsid w:val="00623B13"/>
    <w:rsid w:val="00630FCD"/>
    <w:rsid w:val="00637FA6"/>
    <w:rsid w:val="0064046E"/>
    <w:rsid w:val="00641805"/>
    <w:rsid w:val="0064242A"/>
    <w:rsid w:val="00657AC3"/>
    <w:rsid w:val="00661B4B"/>
    <w:rsid w:val="0067103E"/>
    <w:rsid w:val="00671907"/>
    <w:rsid w:val="00677335"/>
    <w:rsid w:val="006807F5"/>
    <w:rsid w:val="0069076D"/>
    <w:rsid w:val="00696E40"/>
    <w:rsid w:val="006A163F"/>
    <w:rsid w:val="006A23DA"/>
    <w:rsid w:val="006A30DD"/>
    <w:rsid w:val="006A7BCE"/>
    <w:rsid w:val="006B1C9F"/>
    <w:rsid w:val="006C0410"/>
    <w:rsid w:val="006C05EB"/>
    <w:rsid w:val="006C2545"/>
    <w:rsid w:val="006C3A5F"/>
    <w:rsid w:val="006C40C4"/>
    <w:rsid w:val="006C5FD7"/>
    <w:rsid w:val="006C6A99"/>
    <w:rsid w:val="006D0B42"/>
    <w:rsid w:val="006F3040"/>
    <w:rsid w:val="006F75DB"/>
    <w:rsid w:val="007058D1"/>
    <w:rsid w:val="007100AC"/>
    <w:rsid w:val="0071412F"/>
    <w:rsid w:val="0071441D"/>
    <w:rsid w:val="00715C4D"/>
    <w:rsid w:val="00723ED6"/>
    <w:rsid w:val="007276A3"/>
    <w:rsid w:val="00727F43"/>
    <w:rsid w:val="0073627A"/>
    <w:rsid w:val="0074771D"/>
    <w:rsid w:val="00747B5E"/>
    <w:rsid w:val="0076592B"/>
    <w:rsid w:val="0077684E"/>
    <w:rsid w:val="0078160E"/>
    <w:rsid w:val="007832DB"/>
    <w:rsid w:val="00783AAC"/>
    <w:rsid w:val="007865E6"/>
    <w:rsid w:val="00787BC2"/>
    <w:rsid w:val="00796843"/>
    <w:rsid w:val="0079726E"/>
    <w:rsid w:val="007A63B0"/>
    <w:rsid w:val="007A71B4"/>
    <w:rsid w:val="007B3FB8"/>
    <w:rsid w:val="007B5E52"/>
    <w:rsid w:val="007C0B50"/>
    <w:rsid w:val="007C4542"/>
    <w:rsid w:val="007D3560"/>
    <w:rsid w:val="007E548F"/>
    <w:rsid w:val="007F5B64"/>
    <w:rsid w:val="0080199A"/>
    <w:rsid w:val="00811BE1"/>
    <w:rsid w:val="0081219C"/>
    <w:rsid w:val="00813E08"/>
    <w:rsid w:val="00816B0C"/>
    <w:rsid w:val="00820B0F"/>
    <w:rsid w:val="00824D17"/>
    <w:rsid w:val="00830CEE"/>
    <w:rsid w:val="008327C0"/>
    <w:rsid w:val="00836E46"/>
    <w:rsid w:val="0084471B"/>
    <w:rsid w:val="00851106"/>
    <w:rsid w:val="00851507"/>
    <w:rsid w:val="00854E0B"/>
    <w:rsid w:val="00857BF0"/>
    <w:rsid w:val="00860F36"/>
    <w:rsid w:val="00870DC2"/>
    <w:rsid w:val="008736E2"/>
    <w:rsid w:val="00884CF8"/>
    <w:rsid w:val="00890E91"/>
    <w:rsid w:val="008A02A6"/>
    <w:rsid w:val="008B4095"/>
    <w:rsid w:val="008C072F"/>
    <w:rsid w:val="008D2F1B"/>
    <w:rsid w:val="008E4460"/>
    <w:rsid w:val="008F0B6F"/>
    <w:rsid w:val="008F2355"/>
    <w:rsid w:val="008F4F5C"/>
    <w:rsid w:val="008F5208"/>
    <w:rsid w:val="00904C82"/>
    <w:rsid w:val="00917EF5"/>
    <w:rsid w:val="00920DBE"/>
    <w:rsid w:val="0093070D"/>
    <w:rsid w:val="00950C47"/>
    <w:rsid w:val="009572CC"/>
    <w:rsid w:val="00966B82"/>
    <w:rsid w:val="0097357F"/>
    <w:rsid w:val="00983619"/>
    <w:rsid w:val="009937BC"/>
    <w:rsid w:val="00993CC3"/>
    <w:rsid w:val="009941E9"/>
    <w:rsid w:val="009A77A4"/>
    <w:rsid w:val="009B1CF1"/>
    <w:rsid w:val="009B7812"/>
    <w:rsid w:val="009C639A"/>
    <w:rsid w:val="009C6637"/>
    <w:rsid w:val="009C66ED"/>
    <w:rsid w:val="009C7545"/>
    <w:rsid w:val="009D1004"/>
    <w:rsid w:val="009D2FCD"/>
    <w:rsid w:val="009D3A4E"/>
    <w:rsid w:val="009E2871"/>
    <w:rsid w:val="009E58BD"/>
    <w:rsid w:val="009E7CBE"/>
    <w:rsid w:val="009F07F4"/>
    <w:rsid w:val="00A0724C"/>
    <w:rsid w:val="00A13E6F"/>
    <w:rsid w:val="00A17ED9"/>
    <w:rsid w:val="00A272DD"/>
    <w:rsid w:val="00A40EC4"/>
    <w:rsid w:val="00A42860"/>
    <w:rsid w:val="00A474C6"/>
    <w:rsid w:val="00A609E6"/>
    <w:rsid w:val="00A60C75"/>
    <w:rsid w:val="00A648AA"/>
    <w:rsid w:val="00A66957"/>
    <w:rsid w:val="00A6704D"/>
    <w:rsid w:val="00A728D6"/>
    <w:rsid w:val="00A73F35"/>
    <w:rsid w:val="00A74332"/>
    <w:rsid w:val="00A7465A"/>
    <w:rsid w:val="00A74909"/>
    <w:rsid w:val="00A965A7"/>
    <w:rsid w:val="00AA28AC"/>
    <w:rsid w:val="00AD6309"/>
    <w:rsid w:val="00AE020A"/>
    <w:rsid w:val="00AE56D1"/>
    <w:rsid w:val="00B0159C"/>
    <w:rsid w:val="00B04818"/>
    <w:rsid w:val="00B053A1"/>
    <w:rsid w:val="00B07C52"/>
    <w:rsid w:val="00B26FF8"/>
    <w:rsid w:val="00B374E9"/>
    <w:rsid w:val="00B416EA"/>
    <w:rsid w:val="00B42B33"/>
    <w:rsid w:val="00B47CB2"/>
    <w:rsid w:val="00B5352F"/>
    <w:rsid w:val="00B733A1"/>
    <w:rsid w:val="00B751DB"/>
    <w:rsid w:val="00B75781"/>
    <w:rsid w:val="00B879EB"/>
    <w:rsid w:val="00B914F7"/>
    <w:rsid w:val="00B96982"/>
    <w:rsid w:val="00BA11FF"/>
    <w:rsid w:val="00BA68C6"/>
    <w:rsid w:val="00BB1A92"/>
    <w:rsid w:val="00BB3412"/>
    <w:rsid w:val="00BB51C9"/>
    <w:rsid w:val="00BC1B0C"/>
    <w:rsid w:val="00BD37F0"/>
    <w:rsid w:val="00BD3FB1"/>
    <w:rsid w:val="00BD79F3"/>
    <w:rsid w:val="00BF3E8F"/>
    <w:rsid w:val="00BF6BEB"/>
    <w:rsid w:val="00BF79C3"/>
    <w:rsid w:val="00C04781"/>
    <w:rsid w:val="00C06BB9"/>
    <w:rsid w:val="00C163D2"/>
    <w:rsid w:val="00C30580"/>
    <w:rsid w:val="00C5310B"/>
    <w:rsid w:val="00C541CE"/>
    <w:rsid w:val="00C602F2"/>
    <w:rsid w:val="00C62E64"/>
    <w:rsid w:val="00C709C5"/>
    <w:rsid w:val="00C70E85"/>
    <w:rsid w:val="00C92382"/>
    <w:rsid w:val="00C925DB"/>
    <w:rsid w:val="00C961DF"/>
    <w:rsid w:val="00CA3596"/>
    <w:rsid w:val="00CB2AC0"/>
    <w:rsid w:val="00CC2718"/>
    <w:rsid w:val="00CC7F37"/>
    <w:rsid w:val="00CD294D"/>
    <w:rsid w:val="00CE223F"/>
    <w:rsid w:val="00CE2FC0"/>
    <w:rsid w:val="00CE7C26"/>
    <w:rsid w:val="00CF176E"/>
    <w:rsid w:val="00CF5A12"/>
    <w:rsid w:val="00D00836"/>
    <w:rsid w:val="00D01EDA"/>
    <w:rsid w:val="00D131F4"/>
    <w:rsid w:val="00D30989"/>
    <w:rsid w:val="00D30E13"/>
    <w:rsid w:val="00D31539"/>
    <w:rsid w:val="00D32367"/>
    <w:rsid w:val="00D372AA"/>
    <w:rsid w:val="00D43DBB"/>
    <w:rsid w:val="00D44355"/>
    <w:rsid w:val="00D5108E"/>
    <w:rsid w:val="00D567B8"/>
    <w:rsid w:val="00D61B05"/>
    <w:rsid w:val="00D7603B"/>
    <w:rsid w:val="00D77D4F"/>
    <w:rsid w:val="00D86BD0"/>
    <w:rsid w:val="00D875FB"/>
    <w:rsid w:val="00D91475"/>
    <w:rsid w:val="00D97314"/>
    <w:rsid w:val="00D975A1"/>
    <w:rsid w:val="00DA4CAB"/>
    <w:rsid w:val="00DA685C"/>
    <w:rsid w:val="00DC1D78"/>
    <w:rsid w:val="00DE0875"/>
    <w:rsid w:val="00DF2625"/>
    <w:rsid w:val="00E04326"/>
    <w:rsid w:val="00E114D1"/>
    <w:rsid w:val="00E16278"/>
    <w:rsid w:val="00E22A50"/>
    <w:rsid w:val="00E3185A"/>
    <w:rsid w:val="00E3251A"/>
    <w:rsid w:val="00E34289"/>
    <w:rsid w:val="00E515FA"/>
    <w:rsid w:val="00E61CC5"/>
    <w:rsid w:val="00E7692A"/>
    <w:rsid w:val="00E76A0D"/>
    <w:rsid w:val="00E808E2"/>
    <w:rsid w:val="00E8653D"/>
    <w:rsid w:val="00E965A9"/>
    <w:rsid w:val="00E96677"/>
    <w:rsid w:val="00E96E71"/>
    <w:rsid w:val="00EB04E3"/>
    <w:rsid w:val="00EB76AB"/>
    <w:rsid w:val="00EC4B44"/>
    <w:rsid w:val="00ED1947"/>
    <w:rsid w:val="00ED790E"/>
    <w:rsid w:val="00EE24B8"/>
    <w:rsid w:val="00F005AD"/>
    <w:rsid w:val="00F02C4F"/>
    <w:rsid w:val="00F03F3D"/>
    <w:rsid w:val="00F07050"/>
    <w:rsid w:val="00F13498"/>
    <w:rsid w:val="00F17971"/>
    <w:rsid w:val="00F2447D"/>
    <w:rsid w:val="00F24B37"/>
    <w:rsid w:val="00F30D21"/>
    <w:rsid w:val="00F678D8"/>
    <w:rsid w:val="00F70B27"/>
    <w:rsid w:val="00F83AC3"/>
    <w:rsid w:val="00F8504D"/>
    <w:rsid w:val="00F86502"/>
    <w:rsid w:val="00F94476"/>
    <w:rsid w:val="00FB0A78"/>
    <w:rsid w:val="00FC0606"/>
    <w:rsid w:val="00FC24F4"/>
    <w:rsid w:val="00FC4864"/>
    <w:rsid w:val="00FC59A7"/>
    <w:rsid w:val="00FC7C86"/>
    <w:rsid w:val="00FD7DE7"/>
    <w:rsid w:val="00FE5513"/>
    <w:rsid w:val="00FE5BE5"/>
    <w:rsid w:val="00FF1C93"/>
    <w:rsid w:val="00FF5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0F7B4F"/>
  <w15:docId w15:val="{BC825162-C68D-4BD3-9D15-CB71BDD26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val="lv-LV"/>
    </w:rPr>
  </w:style>
  <w:style w:type="paragraph" w:styleId="Heading1">
    <w:name w:val="heading 1"/>
    <w:basedOn w:val="Normal"/>
    <w:autoRedefine/>
    <w:qFormat/>
    <w:rsid w:val="0073627A"/>
    <w:pPr>
      <w:keepNext/>
      <w:keepLines/>
      <w:spacing w:before="640"/>
      <w:jc w:val="center"/>
      <w:outlineLvl w:val="0"/>
    </w:pPr>
    <w:rPr>
      <w:kern w:val="28"/>
      <w:sz w:val="28"/>
      <w:szCs w:val="28"/>
    </w:rPr>
  </w:style>
  <w:style w:type="paragraph" w:styleId="Heading2">
    <w:name w:val="heading 2"/>
    <w:basedOn w:val="Normal"/>
    <w:autoRedefine/>
    <w:qFormat/>
    <w:pPr>
      <w:keepLines/>
      <w:spacing w:before="320"/>
      <w:ind w:firstLine="567"/>
      <w:outlineLvl w:val="1"/>
    </w:pPr>
    <w:rPr>
      <w:noProof/>
    </w:rPr>
  </w:style>
  <w:style w:type="paragraph" w:styleId="Heading3">
    <w:name w:val="heading 3"/>
    <w:basedOn w:val="Normal"/>
    <w:autoRedefine/>
    <w:qFormat/>
    <w:pPr>
      <w:keepLines/>
      <w:spacing w:before="320"/>
      <w:jc w:val="center"/>
      <w:outlineLvl w:val="2"/>
    </w:pPr>
    <w:rPr>
      <w:sz w:val="28"/>
    </w:rPr>
  </w:style>
  <w:style w:type="paragraph" w:styleId="Heading4">
    <w:name w:val="heading 4"/>
    <w:basedOn w:val="Normal"/>
    <w:autoRedefine/>
    <w:qFormat/>
    <w:rsid w:val="004B31E2"/>
    <w:pPr>
      <w:keepLines/>
      <w:jc w:val="left"/>
      <w:outlineLvl w:val="3"/>
    </w:pPr>
    <w:rPr>
      <w:b/>
      <w:sz w:val="20"/>
    </w:rPr>
  </w:style>
  <w:style w:type="paragraph" w:styleId="Heading5">
    <w:name w:val="heading 5"/>
    <w:basedOn w:val="Normal"/>
    <w:autoRedefine/>
    <w:qFormat/>
    <w:pPr>
      <w:numPr>
        <w:ilvl w:val="4"/>
        <w:numId w:val="1"/>
      </w:numPr>
      <w:spacing w:before="160"/>
      <w:outlineLvl w:val="4"/>
    </w:pPr>
    <w:rPr>
      <w:sz w:val="22"/>
    </w:rPr>
  </w:style>
  <w:style w:type="paragraph" w:styleId="Heading6">
    <w:name w:val="heading 6"/>
    <w:basedOn w:val="Normal"/>
    <w:autoRedefine/>
    <w:qFormat/>
    <w:pPr>
      <w:keepLines/>
      <w:numPr>
        <w:ilvl w:val="5"/>
        <w:numId w:val="1"/>
      </w:numPr>
      <w:outlineLvl w:val="5"/>
    </w:pPr>
    <w:rPr>
      <w:sz w:val="22"/>
    </w:rPr>
  </w:style>
  <w:style w:type="paragraph" w:styleId="Heading7">
    <w:name w:val="heading 7"/>
    <w:basedOn w:val="Normal"/>
    <w:autoRedefine/>
    <w:qFormat/>
    <w:pPr>
      <w:keepLines/>
      <w:numPr>
        <w:ilvl w:val="6"/>
        <w:numId w:val="1"/>
      </w:numPr>
      <w:outlineLvl w:val="6"/>
    </w:pPr>
    <w:rPr>
      <w:sz w:val="22"/>
    </w:rPr>
  </w:style>
  <w:style w:type="paragraph" w:styleId="Heading8">
    <w:name w:val="heading 8"/>
    <w:basedOn w:val="Normal"/>
    <w:autoRedefine/>
    <w:qFormat/>
    <w:pPr>
      <w:keepLines/>
      <w:numPr>
        <w:ilvl w:val="7"/>
        <w:numId w:val="1"/>
      </w:numPr>
      <w:outlineLvl w:val="7"/>
    </w:pPr>
    <w:rPr>
      <w:sz w:val="22"/>
    </w:rPr>
  </w:style>
  <w:style w:type="paragraph" w:styleId="Heading9">
    <w:name w:val="heading 9"/>
    <w:basedOn w:val="Normal"/>
    <w:autoRedefine/>
    <w:qFormat/>
    <w:pPr>
      <w:keepLines/>
      <w:numPr>
        <w:ilvl w:val="8"/>
        <w:numId w:val="1"/>
      </w:numPr>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Header">
    <w:name w:val="header"/>
    <w:basedOn w:val="Normal"/>
    <w:link w:val="HeaderChar"/>
    <w:uiPriority w:val="99"/>
    <w:pPr>
      <w:tabs>
        <w:tab w:val="center" w:pos="4153"/>
        <w:tab w:val="right" w:pos="8306"/>
      </w:tabs>
    </w:pPr>
    <w:rPr>
      <w:lang w:val="x-none"/>
    </w:rPr>
  </w:style>
  <w:style w:type="paragraph" w:customStyle="1" w:styleId="TekstsN1">
    <w:name w:val="TekstsN1"/>
    <w:basedOn w:val="Normal"/>
    <w:autoRedefine/>
    <w:pPr>
      <w:keepLines/>
      <w:numPr>
        <w:numId w:val="5"/>
      </w:numPr>
      <w:spacing w:before="320"/>
      <w:outlineLvl w:val="0"/>
    </w:pPr>
  </w:style>
  <w:style w:type="paragraph" w:styleId="Footer">
    <w:name w:val="footer"/>
    <w:basedOn w:val="Normal"/>
    <w:link w:val="FooterChar"/>
    <w:pPr>
      <w:tabs>
        <w:tab w:val="center" w:pos="4153"/>
        <w:tab w:val="right" w:pos="8306"/>
      </w:tabs>
    </w:pPr>
    <w:rPr>
      <w:lang w:val="x-none"/>
    </w:rPr>
  </w:style>
  <w:style w:type="paragraph" w:customStyle="1" w:styleId="Teksts1">
    <w:name w:val="Teksts1"/>
    <w:basedOn w:val="Normal"/>
    <w:uiPriority w:val="99"/>
    <w:pPr>
      <w:spacing w:after="320"/>
    </w:pPr>
  </w:style>
  <w:style w:type="paragraph" w:customStyle="1" w:styleId="Teksts2">
    <w:name w:val="Teksts2"/>
    <w:basedOn w:val="Normal"/>
  </w:style>
  <w:style w:type="paragraph" w:customStyle="1" w:styleId="Teksts3">
    <w:name w:val="Teksts3"/>
    <w:basedOn w:val="Teksts1"/>
    <w:pPr>
      <w:spacing w:after="160"/>
    </w:pPr>
  </w:style>
  <w:style w:type="paragraph" w:customStyle="1" w:styleId="TekstsN2">
    <w:name w:val="TekstsN2"/>
    <w:basedOn w:val="Normal"/>
    <w:autoRedefine/>
    <w:pPr>
      <w:keepLines/>
      <w:numPr>
        <w:ilvl w:val="1"/>
        <w:numId w:val="5"/>
      </w:numPr>
      <w:spacing w:before="320"/>
      <w:outlineLvl w:val="1"/>
    </w:pPr>
  </w:style>
  <w:style w:type="paragraph" w:customStyle="1" w:styleId="TekstsN3">
    <w:name w:val="TekstsN3"/>
    <w:basedOn w:val="Normal"/>
    <w:autoRedefine/>
    <w:pPr>
      <w:keepLines/>
      <w:numPr>
        <w:ilvl w:val="2"/>
        <w:numId w:val="5"/>
      </w:numPr>
      <w:spacing w:before="320"/>
      <w:outlineLvl w:val="2"/>
    </w:pPr>
  </w:style>
  <w:style w:type="paragraph" w:customStyle="1" w:styleId="Datums">
    <w:name w:val="Datums"/>
    <w:basedOn w:val="Normal"/>
    <w:next w:val="Normal"/>
    <w:pPr>
      <w:spacing w:before="1700"/>
      <w:jc w:val="left"/>
    </w:pPr>
    <w:rPr>
      <w:lang w:val="en-US"/>
    </w:rPr>
  </w:style>
  <w:style w:type="paragraph" w:customStyle="1" w:styleId="Adrese">
    <w:name w:val="Adrese"/>
    <w:basedOn w:val="Normal"/>
    <w:pPr>
      <w:jc w:val="left"/>
    </w:pPr>
    <w:rPr>
      <w:lang w:val="en-US"/>
    </w:rPr>
  </w:style>
  <w:style w:type="paragraph" w:customStyle="1" w:styleId="Uzruna">
    <w:name w:val="Uzruna"/>
    <w:basedOn w:val="Normal"/>
    <w:next w:val="Teksts1"/>
    <w:pPr>
      <w:spacing w:before="320" w:after="320"/>
      <w:jc w:val="left"/>
    </w:pPr>
    <w:rPr>
      <w:lang w:val="en-US"/>
    </w:rPr>
  </w:style>
  <w:style w:type="paragraph" w:customStyle="1" w:styleId="Nobeigums">
    <w:name w:val="Nobeigums"/>
    <w:basedOn w:val="Normal"/>
    <w:pPr>
      <w:jc w:val="left"/>
    </w:pPr>
    <w:rPr>
      <w:lang w:val="en-US"/>
    </w:rPr>
  </w:style>
  <w:style w:type="paragraph" w:customStyle="1" w:styleId="Autors">
    <w:name w:val="Autors"/>
    <w:basedOn w:val="Normal"/>
    <w:next w:val="Normal"/>
    <w:pPr>
      <w:tabs>
        <w:tab w:val="right" w:pos="9072"/>
      </w:tabs>
      <w:spacing w:before="1440"/>
      <w:jc w:val="left"/>
    </w:pPr>
    <w:rPr>
      <w:lang w:val="en-US"/>
    </w:rPr>
  </w:style>
  <w:style w:type="paragraph" w:customStyle="1" w:styleId="Valsts">
    <w:name w:val="Valsts"/>
    <w:basedOn w:val="Normal"/>
    <w:pPr>
      <w:jc w:val="left"/>
    </w:pPr>
    <w:rPr>
      <w:caps/>
      <w:lang w:val="en-US"/>
    </w:rPr>
  </w:style>
  <w:style w:type="paragraph" w:customStyle="1" w:styleId="Registrnum">
    <w:name w:val="Registr. num"/>
    <w:basedOn w:val="Normal"/>
    <w:next w:val="Adrese"/>
    <w:pPr>
      <w:spacing w:after="320"/>
      <w:jc w:val="left"/>
    </w:pPr>
    <w:rPr>
      <w:lang w:val="en-US"/>
    </w:rPr>
  </w:style>
  <w:style w:type="paragraph" w:customStyle="1" w:styleId="Nosaukums">
    <w:name w:val="Nosaukums"/>
    <w:basedOn w:val="Normal"/>
    <w:next w:val="Normal"/>
    <w:pPr>
      <w:spacing w:before="640"/>
      <w:ind w:right="2268"/>
      <w:jc w:val="left"/>
    </w:pPr>
    <w:rPr>
      <w:sz w:val="28"/>
      <w:lang w:val="en-US"/>
    </w:rPr>
  </w:style>
  <w:style w:type="paragraph" w:styleId="NormalWeb">
    <w:name w:val="Normal (Web)"/>
    <w:basedOn w:val="Normal"/>
    <w:semiHidden/>
    <w:pPr>
      <w:spacing w:before="100" w:beforeAutospacing="1" w:after="100" w:afterAutospacing="1"/>
      <w:jc w:val="left"/>
    </w:pPr>
    <w:rPr>
      <w:rFonts w:ascii="Arial Unicode MS" w:eastAsia="Arial Unicode MS" w:hAnsi="Arial Unicode MS" w:cs="Arial Unicode MS"/>
      <w:szCs w:val="24"/>
    </w:rPr>
  </w:style>
  <w:style w:type="character" w:styleId="Strong">
    <w:name w:val="Strong"/>
    <w:qFormat/>
    <w:rPr>
      <w:b/>
      <w:bCs/>
    </w:rPr>
  </w:style>
  <w:style w:type="paragraph" w:customStyle="1" w:styleId="naisf">
    <w:name w:val="naisf"/>
    <w:basedOn w:val="Normal"/>
    <w:pPr>
      <w:spacing w:before="100" w:beforeAutospacing="1" w:after="100" w:afterAutospacing="1"/>
    </w:pPr>
    <w:rPr>
      <w:rFonts w:eastAsia="Arial Unicode MS"/>
      <w:szCs w:val="24"/>
      <w:lang w:val="en-GB"/>
    </w:rPr>
  </w:style>
  <w:style w:type="paragraph" w:styleId="BodyText">
    <w:name w:val="Body Text"/>
    <w:basedOn w:val="Normal"/>
    <w:semiHidden/>
    <w:rPr>
      <w:i/>
      <w:iCs/>
      <w:szCs w:val="24"/>
    </w:rPr>
  </w:style>
  <w:style w:type="paragraph" w:styleId="BodyTextIndent3">
    <w:name w:val="Body Text Indent 3"/>
    <w:basedOn w:val="Normal"/>
    <w:semiHidden/>
    <w:pPr>
      <w:ind w:firstLine="540"/>
    </w:pPr>
    <w:rPr>
      <w:szCs w:val="24"/>
      <w:lang w:val="en-GB"/>
    </w:rPr>
  </w:style>
  <w:style w:type="character" w:styleId="CommentReference">
    <w:name w:val="annotation reference"/>
    <w:semiHidden/>
    <w:rPr>
      <w:sz w:val="16"/>
      <w:szCs w:val="16"/>
    </w:rPr>
  </w:style>
  <w:style w:type="paragraph" w:styleId="CommentText">
    <w:name w:val="annotation text"/>
    <w:basedOn w:val="Normal"/>
    <w:link w:val="CommentTextChar"/>
    <w:semiHidden/>
    <w:pPr>
      <w:jc w:val="left"/>
    </w:pPr>
    <w:rPr>
      <w:sz w:val="20"/>
      <w:lang w:val="en-GB"/>
    </w:rPr>
  </w:style>
  <w:style w:type="paragraph" w:styleId="BodyText2">
    <w:name w:val="Body Text 2"/>
    <w:basedOn w:val="Normal"/>
    <w:semiHidden/>
    <w:rPr>
      <w:szCs w:val="24"/>
    </w:rPr>
  </w:style>
  <w:style w:type="paragraph" w:styleId="BodyTextIndent">
    <w:name w:val="Body Text Indent"/>
    <w:basedOn w:val="Normal"/>
    <w:semiHidden/>
    <w:pPr>
      <w:ind w:firstLine="540"/>
    </w:pPr>
    <w:rPr>
      <w:i/>
      <w:iCs/>
    </w:rPr>
  </w:style>
  <w:style w:type="paragraph" w:styleId="BodyTextIndent2">
    <w:name w:val="Body Text Indent 2"/>
    <w:basedOn w:val="Normal"/>
    <w:semiHidden/>
    <w:pPr>
      <w:ind w:firstLine="709"/>
    </w:pPr>
  </w:style>
  <w:style w:type="paragraph" w:styleId="BodyText3">
    <w:name w:val="Body Text 3"/>
    <w:basedOn w:val="Normal"/>
    <w:semiHidden/>
    <w:rPr>
      <w:szCs w:val="24"/>
    </w:rPr>
  </w:style>
  <w:style w:type="paragraph" w:styleId="BalloonText">
    <w:name w:val="Balloon Text"/>
    <w:basedOn w:val="Normal"/>
    <w:link w:val="BalloonTextChar"/>
    <w:semiHidden/>
    <w:rPr>
      <w:rFonts w:ascii="Tahoma" w:hAnsi="Tahoma" w:cs="Tahoma"/>
      <w:sz w:val="16"/>
      <w:szCs w:val="16"/>
    </w:rPr>
  </w:style>
  <w:style w:type="paragraph" w:styleId="BlockText">
    <w:name w:val="Block Text"/>
    <w:basedOn w:val="Normal"/>
    <w:semiHidden/>
    <w:pPr>
      <w:ind w:left="540" w:right="-1"/>
    </w:pPr>
  </w:style>
  <w:style w:type="paragraph" w:customStyle="1" w:styleId="Default">
    <w:name w:val="Default"/>
    <w:rsid w:val="00AA28AC"/>
    <w:pPr>
      <w:autoSpaceDE w:val="0"/>
      <w:autoSpaceDN w:val="0"/>
      <w:adjustRightInd w:val="0"/>
    </w:pPr>
    <w:rPr>
      <w:color w:val="000000"/>
      <w:sz w:val="24"/>
      <w:szCs w:val="24"/>
      <w:lang w:val="lv-LV" w:eastAsia="lv-LV"/>
    </w:rPr>
  </w:style>
  <w:style w:type="character" w:customStyle="1" w:styleId="HeaderChar">
    <w:name w:val="Header Char"/>
    <w:link w:val="Header"/>
    <w:uiPriority w:val="99"/>
    <w:rsid w:val="00D01EDA"/>
    <w:rPr>
      <w:sz w:val="24"/>
      <w:lang w:eastAsia="en-US"/>
    </w:rPr>
  </w:style>
  <w:style w:type="paragraph" w:styleId="CommentSubject">
    <w:name w:val="annotation subject"/>
    <w:basedOn w:val="CommentText"/>
    <w:next w:val="CommentText"/>
    <w:link w:val="CommentSubjectChar"/>
    <w:uiPriority w:val="99"/>
    <w:semiHidden/>
    <w:unhideWhenUsed/>
    <w:rsid w:val="00890E91"/>
    <w:pPr>
      <w:jc w:val="both"/>
    </w:pPr>
    <w:rPr>
      <w:b/>
      <w:bCs/>
      <w:lang w:val="lv-LV"/>
    </w:rPr>
  </w:style>
  <w:style w:type="character" w:customStyle="1" w:styleId="CommentTextChar">
    <w:name w:val="Comment Text Char"/>
    <w:link w:val="CommentText"/>
    <w:semiHidden/>
    <w:rsid w:val="00890E91"/>
    <w:rPr>
      <w:lang w:val="en-GB" w:eastAsia="en-US"/>
    </w:rPr>
  </w:style>
  <w:style w:type="character" w:customStyle="1" w:styleId="CommentSubjectChar">
    <w:name w:val="Comment Subject Char"/>
    <w:basedOn w:val="CommentTextChar"/>
    <w:link w:val="CommentSubject"/>
    <w:rsid w:val="00890E91"/>
    <w:rPr>
      <w:lang w:val="en-GB" w:eastAsia="en-US"/>
    </w:rPr>
  </w:style>
  <w:style w:type="character" w:customStyle="1" w:styleId="apple-converted-space">
    <w:name w:val="apple-converted-space"/>
    <w:basedOn w:val="DefaultParagraphFont"/>
    <w:rsid w:val="00293188"/>
  </w:style>
  <w:style w:type="character" w:customStyle="1" w:styleId="FooterChar">
    <w:name w:val="Footer Char"/>
    <w:link w:val="Footer"/>
    <w:rsid w:val="00463F13"/>
    <w:rPr>
      <w:sz w:val="24"/>
      <w:lang w:eastAsia="en-US"/>
    </w:rPr>
  </w:style>
  <w:style w:type="paragraph" w:styleId="ListParagraph">
    <w:name w:val="List Paragraph"/>
    <w:basedOn w:val="Normal"/>
    <w:uiPriority w:val="34"/>
    <w:qFormat/>
    <w:rsid w:val="00B5352F"/>
    <w:pPr>
      <w:ind w:left="720"/>
      <w:contextualSpacing/>
    </w:pPr>
  </w:style>
  <w:style w:type="character" w:customStyle="1" w:styleId="BalloonTextChar">
    <w:name w:val="Balloon Text Char"/>
    <w:link w:val="BalloonText"/>
    <w:semiHidden/>
    <w:rsid w:val="004D3CF4"/>
    <w:rPr>
      <w:rFonts w:ascii="Tahoma" w:hAnsi="Tahoma" w:cs="Tahoma"/>
      <w:sz w:val="16"/>
      <w:szCs w:val="16"/>
      <w:lang w:val="lv-LV"/>
    </w:rPr>
  </w:style>
  <w:style w:type="character" w:styleId="Hyperlink">
    <w:name w:val="Hyperlink"/>
    <w:basedOn w:val="DefaultParagraphFont"/>
    <w:uiPriority w:val="99"/>
    <w:unhideWhenUsed/>
    <w:rsid w:val="00854E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CDFED1-9D79-4854-A2B1-F061AECAF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Pages>
  <Words>9000</Words>
  <Characters>5131</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ELEKTRONISKAIS dokuments</vt:lpstr>
    </vt:vector>
  </TitlesOfParts>
  <Manager>Finanšu un kapitāla tirgus komisija</Manager>
  <Company>Finanšu un kapitāla tirgus komisija</Company>
  <LinksUpToDate>false</LinksUpToDate>
  <CharactersWithSpaces>14103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ELEKTRONISKAIS dokuments</dc:title>
  <dc:subject>LEMUMI</dc:subject>
  <dc:creator>Marina Milancevica</dc:creator>
  <cp:lastModifiedBy>Airisa Adamsone</cp:lastModifiedBy>
  <cp:revision>16</cp:revision>
  <cp:lastPrinted>2013-07-23T07:46:00Z</cp:lastPrinted>
  <dcterms:created xsi:type="dcterms:W3CDTF">2021-01-05T11:29:00Z</dcterms:created>
  <dcterms:modified xsi:type="dcterms:W3CDTF">2021-03-18T14:01:00Z</dcterms:modified>
</cp:coreProperties>
</file>